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1A" w:rsidRDefault="00CA771A" w:rsidP="00CA771A">
      <w:pPr>
        <w:pStyle w:val="Footer"/>
      </w:pPr>
    </w:p>
    <w:p w:rsidR="00CA771A" w:rsidRDefault="00CA771A" w:rsidP="00CA771A">
      <w:pPr>
        <w:pStyle w:val="Footer"/>
        <w:ind w:left="-810"/>
      </w:pPr>
      <w:r>
        <w:t>This checklist shall be used to assist in planning a pregnancy and parental leave of absence.  If additional assistance is required, please contact: Human Resources at extension 35935 or via email at</w:t>
      </w:r>
      <w:r w:rsidRPr="007B76A1">
        <w:t xml:space="preserve"> </w:t>
      </w:r>
      <w:hyperlink r:id="rId8" w:history="1">
        <w:r w:rsidRPr="00496A94">
          <w:rPr>
            <w:rStyle w:val="Hyperlink"/>
          </w:rPr>
          <w:t>hrhelp@uwaterloo.ca</w:t>
        </w:r>
      </w:hyperlink>
      <w:r>
        <w:t xml:space="preserve"> </w:t>
      </w:r>
    </w:p>
    <w:p w:rsidR="00CA771A" w:rsidRDefault="00CA771A" w:rsidP="00CA771A">
      <w:pPr>
        <w:pStyle w:val="Footer"/>
        <w:ind w:left="-810"/>
      </w:pPr>
    </w:p>
    <w:tbl>
      <w:tblPr>
        <w:tblStyle w:val="TableGrid"/>
        <w:tblW w:w="10885" w:type="dxa"/>
        <w:tblInd w:w="-815" w:type="dxa"/>
        <w:tblLook w:val="04A0" w:firstRow="1" w:lastRow="0" w:firstColumn="1" w:lastColumn="0" w:noHBand="0" w:noVBand="1"/>
      </w:tblPr>
      <w:tblGrid>
        <w:gridCol w:w="715"/>
        <w:gridCol w:w="8910"/>
        <w:gridCol w:w="1260"/>
      </w:tblGrid>
      <w:tr w:rsidR="00503A36" w:rsidTr="008D65F0">
        <w:trPr>
          <w:trHeight w:val="422"/>
        </w:trPr>
        <w:tc>
          <w:tcPr>
            <w:tcW w:w="10885" w:type="dxa"/>
            <w:gridSpan w:val="3"/>
            <w:shd w:val="clear" w:color="auto" w:fill="0070C0"/>
          </w:tcPr>
          <w:p w:rsidR="00503A36" w:rsidRPr="0022435B" w:rsidRDefault="00503A36" w:rsidP="008D65F0">
            <w:pPr>
              <w:spacing w:after="140"/>
              <w:rPr>
                <w:sz w:val="28"/>
                <w:szCs w:val="28"/>
              </w:rPr>
            </w:pPr>
            <w:bookmarkStart w:id="0" w:name="Checklist"/>
            <w:r w:rsidRPr="0022435B">
              <w:rPr>
                <w:color w:val="FFFFFF" w:themeColor="background1"/>
                <w:sz w:val="28"/>
                <w:szCs w:val="28"/>
              </w:rPr>
              <w:t>Prior to your leave</w:t>
            </w:r>
            <w:bookmarkEnd w:id="0"/>
          </w:p>
        </w:tc>
      </w:tr>
      <w:tr w:rsidR="00503A36" w:rsidTr="008D65F0">
        <w:trPr>
          <w:trHeight w:val="467"/>
        </w:trPr>
        <w:tc>
          <w:tcPr>
            <w:tcW w:w="715" w:type="dxa"/>
          </w:tcPr>
          <w:p w:rsidR="00503A36" w:rsidRPr="009B78F4" w:rsidRDefault="00503A36" w:rsidP="008D65F0">
            <w:pPr>
              <w:spacing w:after="140"/>
              <w:jc w:val="center"/>
              <w:rPr>
                <w:b/>
              </w:rPr>
            </w:pPr>
            <w:r w:rsidRPr="009B78F4">
              <w:rPr>
                <w:b/>
              </w:rPr>
              <w:t>1.</w:t>
            </w:r>
          </w:p>
        </w:tc>
        <w:tc>
          <w:tcPr>
            <w:tcW w:w="8910" w:type="dxa"/>
          </w:tcPr>
          <w:p w:rsidR="00503A36" w:rsidRPr="00AB292E" w:rsidDel="00C24E03" w:rsidRDefault="00503A36" w:rsidP="008D65F0">
            <w:pPr>
              <w:spacing w:after="140"/>
              <w:rPr>
                <w:sz w:val="20"/>
                <w:szCs w:val="20"/>
              </w:rPr>
            </w:pPr>
            <w:r w:rsidRPr="00AB292E">
              <w:rPr>
                <w:sz w:val="20"/>
                <w:szCs w:val="20"/>
              </w:rPr>
              <w:t>Contact your manager to discuss your plans well in advance of your leave.</w:t>
            </w:r>
            <w:r>
              <w:rPr>
                <w:sz w:val="20"/>
                <w:szCs w:val="20"/>
              </w:rPr>
              <w:t xml:space="preserve">  Consider how your annual vacation might fit in with your leave; for instance, do you want to take vacation time before your leave, or use vacation time before returning from your leave.</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Pr="009B78F4" w:rsidRDefault="00503A36" w:rsidP="008D65F0">
            <w:pPr>
              <w:spacing w:after="140"/>
              <w:jc w:val="center"/>
              <w:rPr>
                <w:b/>
              </w:rPr>
            </w:pPr>
            <w:r>
              <w:rPr>
                <w:b/>
              </w:rPr>
              <w:t>2</w:t>
            </w:r>
            <w:r w:rsidRPr="009B78F4">
              <w:rPr>
                <w:b/>
              </w:rPr>
              <w:t>.</w:t>
            </w:r>
          </w:p>
        </w:tc>
        <w:tc>
          <w:tcPr>
            <w:tcW w:w="8910" w:type="dxa"/>
          </w:tcPr>
          <w:p w:rsidR="00503A36" w:rsidRPr="00545BE3" w:rsidRDefault="00503A36" w:rsidP="008D65F0">
            <w:pPr>
              <w:spacing w:after="140"/>
              <w:rPr>
                <w:sz w:val="20"/>
                <w:szCs w:val="20"/>
              </w:rPr>
            </w:pPr>
            <w:r w:rsidRPr="00545BE3">
              <w:rPr>
                <w:sz w:val="20"/>
                <w:szCs w:val="20"/>
              </w:rPr>
              <w:t xml:space="preserve">Review </w:t>
            </w:r>
            <w:hyperlink r:id="rId9" w:history="1">
              <w:r w:rsidRPr="00027E66">
                <w:rPr>
                  <w:rStyle w:val="Hyperlink"/>
                  <w:sz w:val="20"/>
                  <w:szCs w:val="20"/>
                </w:rPr>
                <w:t>Policy 14 – Pregnancy and Parental Leaves (including Adoption)</w:t>
              </w:r>
            </w:hyperlink>
            <w:r w:rsidRPr="00545BE3">
              <w:rPr>
                <w:sz w:val="20"/>
                <w:szCs w:val="20"/>
              </w:rPr>
              <w:t xml:space="preserve"> on the Secretariat website.</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rPr>
          <w:trHeight w:val="530"/>
        </w:trPr>
        <w:tc>
          <w:tcPr>
            <w:tcW w:w="715" w:type="dxa"/>
          </w:tcPr>
          <w:p w:rsidR="00503A36" w:rsidRPr="009B78F4" w:rsidRDefault="00503A36" w:rsidP="008D65F0">
            <w:pPr>
              <w:spacing w:after="140"/>
              <w:jc w:val="center"/>
              <w:rPr>
                <w:b/>
              </w:rPr>
            </w:pPr>
            <w:r>
              <w:rPr>
                <w:b/>
              </w:rPr>
              <w:t>3.</w:t>
            </w:r>
          </w:p>
        </w:tc>
        <w:tc>
          <w:tcPr>
            <w:tcW w:w="8910" w:type="dxa"/>
          </w:tcPr>
          <w:p w:rsidR="00503A36" w:rsidRPr="00AB292E" w:rsidRDefault="00503A36" w:rsidP="008D65F0">
            <w:pPr>
              <w:spacing w:after="140"/>
              <w:rPr>
                <w:sz w:val="20"/>
                <w:szCs w:val="20"/>
              </w:rPr>
            </w:pPr>
            <w:r w:rsidRPr="00AB292E">
              <w:rPr>
                <w:sz w:val="20"/>
                <w:szCs w:val="20"/>
              </w:rPr>
              <w:t xml:space="preserve">Understand your eligibility for a leave of absence under the Employment Standards Act (ESA) </w:t>
            </w:r>
            <w:hyperlink r:id="rId10" w:history="1">
              <w:r w:rsidRPr="00027E66">
                <w:rPr>
                  <w:rStyle w:val="Hyperlink"/>
                  <w:sz w:val="20"/>
                  <w:szCs w:val="20"/>
                </w:rPr>
                <w:t>Pregnancy and Parental Leave</w:t>
              </w:r>
            </w:hyperlink>
            <w:r w:rsidRPr="00545BE3">
              <w:rPr>
                <w:sz w:val="20"/>
                <w:szCs w:val="20"/>
              </w:rPr>
              <w:t xml:space="preserve"> legislation.</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Pr="009B78F4" w:rsidRDefault="00503A36" w:rsidP="008D65F0">
            <w:pPr>
              <w:spacing w:after="140"/>
              <w:jc w:val="center"/>
              <w:rPr>
                <w:b/>
              </w:rPr>
            </w:pPr>
            <w:r>
              <w:rPr>
                <w:b/>
              </w:rPr>
              <w:t>4</w:t>
            </w:r>
            <w:r w:rsidRPr="009B78F4">
              <w:rPr>
                <w:b/>
              </w:rPr>
              <w:t>.</w:t>
            </w:r>
          </w:p>
        </w:tc>
        <w:tc>
          <w:tcPr>
            <w:tcW w:w="8910" w:type="dxa"/>
          </w:tcPr>
          <w:p w:rsidR="00503A36" w:rsidRPr="00545BE3" w:rsidRDefault="00503A36" w:rsidP="008D65F0">
            <w:pPr>
              <w:spacing w:after="140"/>
              <w:rPr>
                <w:sz w:val="20"/>
                <w:szCs w:val="20"/>
              </w:rPr>
            </w:pPr>
            <w:r w:rsidRPr="00545BE3">
              <w:rPr>
                <w:sz w:val="20"/>
                <w:szCs w:val="20"/>
              </w:rPr>
              <w:t xml:space="preserve">Understand your eligibility for </w:t>
            </w:r>
            <w:hyperlink r:id="rId11" w:history="1">
              <w:r w:rsidRPr="00027E66">
                <w:rPr>
                  <w:rStyle w:val="Hyperlink"/>
                  <w:sz w:val="20"/>
                  <w:szCs w:val="20"/>
                </w:rPr>
                <w:t>Employment Insurance (EI) benefits</w:t>
              </w:r>
            </w:hyperlink>
            <w:r w:rsidRPr="00545BE3">
              <w:rPr>
                <w:sz w:val="20"/>
                <w:szCs w:val="20"/>
              </w:rPr>
              <w:t xml:space="preserve"> and University of Waterloo supplementary benefits (Top-up) – see </w:t>
            </w:r>
            <w:hyperlink r:id="rId12" w:history="1">
              <w:r w:rsidRPr="00027E66">
                <w:rPr>
                  <w:rStyle w:val="Hyperlink"/>
                  <w:sz w:val="20"/>
                  <w:szCs w:val="20"/>
                </w:rPr>
                <w:t>Policy 14</w:t>
              </w:r>
            </w:hyperlink>
            <w:r w:rsidRPr="00545BE3">
              <w:rPr>
                <w:sz w:val="20"/>
                <w:szCs w:val="20"/>
              </w:rPr>
              <w:t>.</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Pr="009B78F4" w:rsidRDefault="00503A36" w:rsidP="008D65F0">
            <w:pPr>
              <w:spacing w:after="140"/>
              <w:jc w:val="center"/>
              <w:rPr>
                <w:b/>
              </w:rPr>
            </w:pPr>
            <w:r>
              <w:rPr>
                <w:b/>
              </w:rPr>
              <w:t>5</w:t>
            </w:r>
            <w:r w:rsidRPr="009B78F4">
              <w:rPr>
                <w:b/>
              </w:rPr>
              <w:t>.</w:t>
            </w:r>
          </w:p>
        </w:tc>
        <w:tc>
          <w:tcPr>
            <w:tcW w:w="8910" w:type="dxa"/>
          </w:tcPr>
          <w:p w:rsidR="00503A36" w:rsidRPr="00AB292E" w:rsidRDefault="00503A36" w:rsidP="002261B6">
            <w:pPr>
              <w:rPr>
                <w:sz w:val="20"/>
                <w:szCs w:val="20"/>
              </w:rPr>
            </w:pPr>
            <w:r w:rsidRPr="00AB292E">
              <w:rPr>
                <w:sz w:val="20"/>
                <w:szCs w:val="20"/>
              </w:rPr>
              <w:t xml:space="preserve">Complete </w:t>
            </w:r>
            <w:r w:rsidRPr="00545662">
              <w:rPr>
                <w:sz w:val="20"/>
                <w:szCs w:val="20"/>
              </w:rPr>
              <w:t xml:space="preserve">the </w:t>
            </w:r>
            <w:r w:rsidRPr="00027E66">
              <w:rPr>
                <w:sz w:val="20"/>
                <w:szCs w:val="20"/>
              </w:rPr>
              <w:t xml:space="preserve">Pregnancy/Parental Leave </w:t>
            </w:r>
            <w:r w:rsidRPr="00013F21">
              <w:rPr>
                <w:sz w:val="20"/>
                <w:szCs w:val="20"/>
              </w:rPr>
              <w:t>Request form</w:t>
            </w:r>
            <w:r w:rsidRPr="00545662">
              <w:rPr>
                <w:sz w:val="20"/>
                <w:szCs w:val="20"/>
              </w:rPr>
              <w:t>, ensuring</w:t>
            </w:r>
            <w:r w:rsidRPr="00545BE3">
              <w:rPr>
                <w:sz w:val="20"/>
                <w:szCs w:val="20"/>
              </w:rPr>
              <w:t xml:space="preserve"> </w:t>
            </w:r>
            <w:r>
              <w:rPr>
                <w:sz w:val="20"/>
                <w:szCs w:val="20"/>
              </w:rPr>
              <w:t>approval signatures are</w:t>
            </w:r>
            <w:r w:rsidRPr="00545BE3">
              <w:rPr>
                <w:sz w:val="20"/>
                <w:szCs w:val="20"/>
              </w:rPr>
              <w:t xml:space="preserve"> </w:t>
            </w:r>
            <w:r>
              <w:rPr>
                <w:sz w:val="20"/>
                <w:szCs w:val="20"/>
              </w:rPr>
              <w:t>ob</w:t>
            </w:r>
            <w:r w:rsidRPr="00545BE3">
              <w:rPr>
                <w:sz w:val="20"/>
                <w:szCs w:val="20"/>
              </w:rPr>
              <w:t xml:space="preserve">tained and, for birth mothers, a signed doctor’s/midwife’s note with the expected delivery date is attached, and submit to Human Resources, </w:t>
            </w:r>
            <w:r w:rsidR="002261B6">
              <w:rPr>
                <w:sz w:val="20"/>
                <w:szCs w:val="20"/>
              </w:rPr>
              <w:t>EC1</w:t>
            </w:r>
            <w:r w:rsidRPr="00545BE3">
              <w:rPr>
                <w:sz w:val="20"/>
                <w:szCs w:val="20"/>
              </w:rPr>
              <w:t xml:space="preserve">, or email the documentation to </w:t>
            </w:r>
            <w:hyperlink r:id="rId13" w:history="1">
              <w:r w:rsidRPr="00027E66">
                <w:rPr>
                  <w:rStyle w:val="Hyperlink"/>
                  <w:sz w:val="20"/>
                  <w:szCs w:val="20"/>
                </w:rPr>
                <w:t>hrhelp@uwaterloo.ca</w:t>
              </w:r>
            </w:hyperlink>
            <w:r>
              <w:t xml:space="preserve">.  </w:t>
            </w:r>
            <w:r w:rsidRPr="00027E66">
              <w:rPr>
                <w:sz w:val="20"/>
                <w:szCs w:val="20"/>
              </w:rPr>
              <w:t xml:space="preserve">Documentation should be submitted </w:t>
            </w:r>
            <w:r w:rsidRPr="00545BE3">
              <w:rPr>
                <w:sz w:val="20"/>
                <w:szCs w:val="20"/>
              </w:rPr>
              <w:t xml:space="preserve">ideally one month prior to the start of your leave, but at a minimum at least two weeks prior to the start </w:t>
            </w:r>
            <w:r>
              <w:rPr>
                <w:sz w:val="20"/>
                <w:szCs w:val="20"/>
              </w:rPr>
              <w:t>of your leave.</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Default="00503A36" w:rsidP="008D65F0">
            <w:pPr>
              <w:spacing w:after="140"/>
              <w:jc w:val="center"/>
              <w:rPr>
                <w:b/>
              </w:rPr>
            </w:pPr>
            <w:r>
              <w:rPr>
                <w:b/>
              </w:rPr>
              <w:t>6.</w:t>
            </w:r>
          </w:p>
        </w:tc>
        <w:tc>
          <w:tcPr>
            <w:tcW w:w="8910" w:type="dxa"/>
          </w:tcPr>
          <w:p w:rsidR="00503A36" w:rsidRPr="00545BE3" w:rsidRDefault="00503A36" w:rsidP="008D65F0">
            <w:pPr>
              <w:spacing w:after="140"/>
              <w:rPr>
                <w:sz w:val="20"/>
                <w:szCs w:val="20"/>
              </w:rPr>
            </w:pPr>
            <w:r w:rsidRPr="00545BE3">
              <w:rPr>
                <w:sz w:val="20"/>
                <w:szCs w:val="20"/>
              </w:rPr>
              <w:t xml:space="preserve">Contact </w:t>
            </w:r>
            <w:hyperlink r:id="rId14" w:history="1">
              <w:r w:rsidRPr="00027E66">
                <w:rPr>
                  <w:rStyle w:val="Hyperlink"/>
                  <w:sz w:val="20"/>
                  <w:szCs w:val="20"/>
                </w:rPr>
                <w:t>Parking Services</w:t>
              </w:r>
            </w:hyperlink>
            <w:r w:rsidRPr="00545BE3">
              <w:rPr>
                <w:sz w:val="20"/>
                <w:szCs w:val="20"/>
              </w:rPr>
              <w:t xml:space="preserve"> directly to discuss options regarding your parking permit while on leave. </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Pr="009B78F4" w:rsidRDefault="00503A36" w:rsidP="008D65F0">
            <w:pPr>
              <w:spacing w:after="140"/>
              <w:jc w:val="center"/>
              <w:rPr>
                <w:b/>
              </w:rPr>
            </w:pPr>
            <w:r>
              <w:rPr>
                <w:b/>
              </w:rPr>
              <w:t>7</w:t>
            </w:r>
            <w:r w:rsidRPr="009B78F4">
              <w:rPr>
                <w:b/>
              </w:rPr>
              <w:t>.</w:t>
            </w:r>
          </w:p>
        </w:tc>
        <w:tc>
          <w:tcPr>
            <w:tcW w:w="8910" w:type="dxa"/>
          </w:tcPr>
          <w:p w:rsidR="00503A36" w:rsidRPr="00545BE3" w:rsidRDefault="00503A36" w:rsidP="008D65F0">
            <w:pPr>
              <w:spacing w:after="140"/>
              <w:rPr>
                <w:sz w:val="20"/>
                <w:szCs w:val="20"/>
              </w:rPr>
            </w:pPr>
            <w:r w:rsidRPr="00545BE3">
              <w:rPr>
                <w:sz w:val="20"/>
                <w:szCs w:val="20"/>
              </w:rPr>
              <w:t xml:space="preserve">Apply for </w:t>
            </w:r>
            <w:hyperlink r:id="rId15" w:history="1">
              <w:r w:rsidRPr="00027E66">
                <w:rPr>
                  <w:rStyle w:val="Hyperlink"/>
                  <w:sz w:val="20"/>
                  <w:szCs w:val="20"/>
                </w:rPr>
                <w:t>Employment Insurance (EI) benefits</w:t>
              </w:r>
            </w:hyperlink>
            <w:r w:rsidRPr="00545BE3">
              <w:rPr>
                <w:sz w:val="20"/>
                <w:szCs w:val="20"/>
              </w:rPr>
              <w:t xml:space="preserve"> on-line or in person at your nearest </w:t>
            </w:r>
            <w:hyperlink r:id="rId16" w:history="1">
              <w:r w:rsidRPr="00027E66">
                <w:rPr>
                  <w:rStyle w:val="Hyperlink"/>
                  <w:sz w:val="20"/>
                  <w:szCs w:val="20"/>
                </w:rPr>
                <w:t>Service Canada location</w:t>
              </w:r>
            </w:hyperlink>
            <w:r w:rsidRPr="00545BE3">
              <w:rPr>
                <w:sz w:val="20"/>
                <w:szCs w:val="20"/>
              </w:rPr>
              <w:t xml:space="preserve"> once you have stopped working.</w:t>
            </w:r>
          </w:p>
          <w:p w:rsidR="00503A36" w:rsidRDefault="00503A36" w:rsidP="008D65F0">
            <w:pPr>
              <w:spacing w:after="140"/>
              <w:rPr>
                <w:sz w:val="20"/>
                <w:szCs w:val="20"/>
              </w:rPr>
            </w:pPr>
            <w:r w:rsidRPr="00AB292E">
              <w:rPr>
                <w:b/>
                <w:sz w:val="20"/>
                <w:szCs w:val="20"/>
              </w:rPr>
              <w:t>Please Note:</w:t>
            </w:r>
            <w:r w:rsidRPr="00AB292E">
              <w:rPr>
                <w:sz w:val="20"/>
                <w:szCs w:val="20"/>
              </w:rPr>
              <w:t xml:space="preserve"> Your Record of Employment (ROE), which is required by Service Canada to process your EI application, will be issued </w:t>
            </w:r>
            <w:r>
              <w:rPr>
                <w:sz w:val="20"/>
                <w:szCs w:val="20"/>
              </w:rPr>
              <w:t>electronically to Service Canada by Payroll. ROEs are issued as follows:</w:t>
            </w:r>
          </w:p>
          <w:p w:rsidR="00503A36" w:rsidRPr="009028F8" w:rsidRDefault="00503A36" w:rsidP="00503A36">
            <w:pPr>
              <w:pStyle w:val="ListParagraph"/>
              <w:numPr>
                <w:ilvl w:val="0"/>
                <w:numId w:val="3"/>
              </w:numPr>
              <w:spacing w:after="140"/>
              <w:rPr>
                <w:sz w:val="20"/>
                <w:szCs w:val="20"/>
              </w:rPr>
            </w:pPr>
            <w:r w:rsidRPr="009028F8">
              <w:rPr>
                <w:sz w:val="20"/>
                <w:szCs w:val="20"/>
              </w:rPr>
              <w:t xml:space="preserve">For birth mothers eligible for the six weeks of birth leave benefits, your ROE will be issued </w:t>
            </w:r>
            <w:r>
              <w:rPr>
                <w:sz w:val="20"/>
                <w:szCs w:val="20"/>
              </w:rPr>
              <w:t xml:space="preserve">within 7 business days </w:t>
            </w:r>
            <w:r w:rsidRPr="009028F8">
              <w:rPr>
                <w:sz w:val="20"/>
                <w:szCs w:val="20"/>
              </w:rPr>
              <w:t xml:space="preserve">following payment of this benefit.  Service Canada considers this benefit to be </w:t>
            </w:r>
            <w:r w:rsidRPr="00027E66">
              <w:rPr>
                <w:sz w:val="20"/>
                <w:szCs w:val="20"/>
              </w:rPr>
              <w:t>insurable earnings</w:t>
            </w:r>
            <w:r w:rsidRPr="009028F8">
              <w:rPr>
                <w:sz w:val="20"/>
                <w:szCs w:val="20"/>
              </w:rPr>
              <w:t xml:space="preserve"> and will not begin your EI benefits until after payment of this benefit has completed.</w:t>
            </w:r>
          </w:p>
          <w:p w:rsidR="00503A36" w:rsidRDefault="00503A36" w:rsidP="00503A36">
            <w:pPr>
              <w:pStyle w:val="ListParagraph"/>
              <w:numPr>
                <w:ilvl w:val="0"/>
                <w:numId w:val="3"/>
              </w:numPr>
              <w:spacing w:after="140"/>
              <w:rPr>
                <w:sz w:val="20"/>
                <w:szCs w:val="20"/>
              </w:rPr>
            </w:pPr>
            <w:r>
              <w:rPr>
                <w:sz w:val="20"/>
                <w:szCs w:val="20"/>
              </w:rPr>
              <w:t>For all others, your ROE will be issued within 7 business days following payment of your last pay.</w:t>
            </w:r>
          </w:p>
          <w:p w:rsidR="00503A36" w:rsidRPr="001E1E82" w:rsidRDefault="00503A36" w:rsidP="008D65F0">
            <w:pPr>
              <w:spacing w:after="140"/>
              <w:rPr>
                <w:sz w:val="20"/>
                <w:szCs w:val="20"/>
              </w:rPr>
            </w:pPr>
            <w:r w:rsidRPr="001E1E82">
              <w:rPr>
                <w:sz w:val="20"/>
                <w:szCs w:val="20"/>
              </w:rPr>
              <w:t xml:space="preserve">You </w:t>
            </w:r>
            <w:r w:rsidRPr="001E1E82">
              <w:rPr>
                <w:b/>
                <w:sz w:val="20"/>
                <w:szCs w:val="20"/>
              </w:rPr>
              <w:t>do not</w:t>
            </w:r>
            <w:r w:rsidRPr="001E1E82">
              <w:rPr>
                <w:sz w:val="20"/>
                <w:szCs w:val="20"/>
              </w:rPr>
              <w:t xml:space="preserve"> have to wait to receive your ROE b</w:t>
            </w:r>
            <w:r>
              <w:rPr>
                <w:sz w:val="20"/>
                <w:szCs w:val="20"/>
              </w:rPr>
              <w:t>efore starting your application, however Service Canada will not process your claim and begin your benefits until your ROE is received.</w:t>
            </w:r>
            <w:bookmarkStart w:id="1" w:name="_GoBack"/>
            <w:bookmarkEnd w:id="1"/>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Default="00503A36" w:rsidP="008D65F0">
            <w:pPr>
              <w:spacing w:after="140"/>
              <w:jc w:val="center"/>
              <w:rPr>
                <w:b/>
              </w:rPr>
            </w:pPr>
            <w:r>
              <w:rPr>
                <w:b/>
              </w:rPr>
              <w:t>8</w:t>
            </w:r>
            <w:r w:rsidRPr="009B78F4">
              <w:rPr>
                <w:b/>
              </w:rPr>
              <w:t>.</w:t>
            </w:r>
          </w:p>
        </w:tc>
        <w:tc>
          <w:tcPr>
            <w:tcW w:w="8910" w:type="dxa"/>
          </w:tcPr>
          <w:p w:rsidR="00503A36" w:rsidRPr="00AB292E" w:rsidRDefault="00503A36" w:rsidP="008D65F0">
            <w:pPr>
              <w:spacing w:after="140"/>
              <w:rPr>
                <w:sz w:val="20"/>
                <w:szCs w:val="20"/>
              </w:rPr>
            </w:pPr>
            <w:r>
              <w:rPr>
                <w:sz w:val="20"/>
                <w:szCs w:val="20"/>
              </w:rPr>
              <w:t>Submit post-dated cheques to Human Resources to cover your share of benefit premiums/pension contributions for the period of your leave not covered by Top-up (you will receive a letter from Human Resources with details in the month prior to the start of your leave).</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10885" w:type="dxa"/>
            <w:gridSpan w:val="3"/>
            <w:shd w:val="clear" w:color="auto" w:fill="0070C0"/>
          </w:tcPr>
          <w:p w:rsidR="00503A36" w:rsidRPr="00B45D4B" w:rsidRDefault="00503A36" w:rsidP="008D65F0">
            <w:pPr>
              <w:spacing w:after="140"/>
              <w:rPr>
                <w:color w:val="FFFFFF" w:themeColor="background1"/>
                <w:sz w:val="28"/>
                <w:szCs w:val="28"/>
              </w:rPr>
            </w:pPr>
            <w:r>
              <w:rPr>
                <w:color w:val="FFFFFF" w:themeColor="background1"/>
                <w:sz w:val="28"/>
                <w:szCs w:val="28"/>
              </w:rPr>
              <w:t>Early delivery</w:t>
            </w:r>
          </w:p>
        </w:tc>
      </w:tr>
      <w:tr w:rsidR="00503A36" w:rsidTr="008D65F0">
        <w:tc>
          <w:tcPr>
            <w:tcW w:w="715" w:type="dxa"/>
          </w:tcPr>
          <w:p w:rsidR="00503A36" w:rsidRDefault="00503A36" w:rsidP="008D65F0">
            <w:pPr>
              <w:spacing w:after="140"/>
              <w:jc w:val="center"/>
              <w:rPr>
                <w:b/>
              </w:rPr>
            </w:pPr>
            <w:r>
              <w:rPr>
                <w:b/>
              </w:rPr>
              <w:t>1</w:t>
            </w:r>
            <w:r w:rsidRPr="009B78F4">
              <w:rPr>
                <w:b/>
              </w:rPr>
              <w:t>.</w:t>
            </w:r>
          </w:p>
        </w:tc>
        <w:tc>
          <w:tcPr>
            <w:tcW w:w="8910" w:type="dxa"/>
          </w:tcPr>
          <w:p w:rsidR="00503A36" w:rsidRDefault="00503A36" w:rsidP="008D65F0">
            <w:pPr>
              <w:spacing w:after="140"/>
              <w:rPr>
                <w:sz w:val="20"/>
                <w:szCs w:val="20"/>
              </w:rPr>
            </w:pPr>
            <w:r>
              <w:rPr>
                <w:sz w:val="20"/>
                <w:szCs w:val="20"/>
              </w:rPr>
              <w:t>Inform your manager and Human Resources (preferably by email) of the date of birth of your baby if prior to the original effective date of your leave.  If you have given birth early, your leave begins on the day you give birth.</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Default="00503A36" w:rsidP="008D65F0">
            <w:pPr>
              <w:spacing w:after="140"/>
              <w:jc w:val="center"/>
              <w:rPr>
                <w:b/>
              </w:rPr>
            </w:pPr>
            <w:r>
              <w:rPr>
                <w:b/>
              </w:rPr>
              <w:t>2</w:t>
            </w:r>
            <w:r w:rsidRPr="009B78F4">
              <w:rPr>
                <w:b/>
              </w:rPr>
              <w:t>.</w:t>
            </w:r>
          </w:p>
        </w:tc>
        <w:tc>
          <w:tcPr>
            <w:tcW w:w="8910" w:type="dxa"/>
          </w:tcPr>
          <w:p w:rsidR="00503A36" w:rsidRDefault="00503A36" w:rsidP="008D65F0">
            <w:pPr>
              <w:spacing w:after="140"/>
              <w:rPr>
                <w:sz w:val="20"/>
                <w:szCs w:val="20"/>
              </w:rPr>
            </w:pPr>
            <w:r>
              <w:rPr>
                <w:sz w:val="20"/>
                <w:szCs w:val="20"/>
              </w:rPr>
              <w:t>Make adjustments to your return-to-work date</w:t>
            </w:r>
            <w:r w:rsidR="00180C2D">
              <w:rPr>
                <w:sz w:val="20"/>
                <w:szCs w:val="20"/>
              </w:rPr>
              <w:t xml:space="preserve"> </w:t>
            </w:r>
            <w:r w:rsidR="00A907B4">
              <w:rPr>
                <w:sz w:val="20"/>
                <w:szCs w:val="20"/>
              </w:rPr>
              <w:t xml:space="preserve">and any planned vacation if applicable </w:t>
            </w:r>
            <w:r w:rsidR="00180C2D">
              <w:rPr>
                <w:sz w:val="20"/>
                <w:szCs w:val="20"/>
              </w:rPr>
              <w:t>on the Pregnancy and Parental Leave of Absence Form</w:t>
            </w:r>
            <w:r>
              <w:rPr>
                <w:sz w:val="20"/>
                <w:szCs w:val="20"/>
              </w:rPr>
              <w:t>.  Your return-to-work date is usually no more than 52 weeks from the date you give birth.</w:t>
            </w:r>
          </w:p>
          <w:p w:rsidR="00503A36" w:rsidRDefault="00503A36" w:rsidP="008D65F0">
            <w:pPr>
              <w:spacing w:after="140"/>
              <w:rPr>
                <w:sz w:val="20"/>
                <w:szCs w:val="20"/>
              </w:rPr>
            </w:pP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rPr>
          <w:trHeight w:val="413"/>
        </w:trPr>
        <w:tc>
          <w:tcPr>
            <w:tcW w:w="10885" w:type="dxa"/>
            <w:gridSpan w:val="3"/>
            <w:shd w:val="clear" w:color="auto" w:fill="0070C0"/>
          </w:tcPr>
          <w:p w:rsidR="00503A36" w:rsidRPr="00AB292E" w:rsidRDefault="00503A36" w:rsidP="008D65F0">
            <w:pPr>
              <w:spacing w:after="140"/>
              <w:rPr>
                <w:color w:val="FFFFFF" w:themeColor="background1"/>
                <w:sz w:val="28"/>
                <w:szCs w:val="28"/>
              </w:rPr>
            </w:pPr>
            <w:r>
              <w:rPr>
                <w:color w:val="FFFFFF" w:themeColor="background1"/>
                <w:sz w:val="28"/>
                <w:szCs w:val="28"/>
              </w:rPr>
              <w:lastRenderedPageBreak/>
              <w:t>During your leave</w:t>
            </w:r>
          </w:p>
        </w:tc>
      </w:tr>
      <w:tr w:rsidR="00503A36" w:rsidTr="008D65F0">
        <w:tc>
          <w:tcPr>
            <w:tcW w:w="715" w:type="dxa"/>
          </w:tcPr>
          <w:p w:rsidR="00503A36" w:rsidRPr="009B78F4" w:rsidRDefault="00503A36" w:rsidP="008D65F0">
            <w:pPr>
              <w:spacing w:after="140"/>
              <w:jc w:val="center"/>
              <w:rPr>
                <w:b/>
              </w:rPr>
            </w:pPr>
            <w:r>
              <w:rPr>
                <w:b/>
              </w:rPr>
              <w:t>1</w:t>
            </w:r>
            <w:r w:rsidRPr="009B78F4">
              <w:rPr>
                <w:b/>
              </w:rPr>
              <w:t>.</w:t>
            </w:r>
          </w:p>
        </w:tc>
        <w:tc>
          <w:tcPr>
            <w:tcW w:w="8910" w:type="dxa"/>
          </w:tcPr>
          <w:p w:rsidR="00503A36" w:rsidRDefault="00503A36" w:rsidP="008D65F0">
            <w:pPr>
              <w:spacing w:after="140"/>
              <w:rPr>
                <w:sz w:val="20"/>
                <w:szCs w:val="20"/>
              </w:rPr>
            </w:pPr>
            <w:r w:rsidRPr="00545BE3">
              <w:rPr>
                <w:sz w:val="20"/>
                <w:szCs w:val="20"/>
              </w:rPr>
              <w:t xml:space="preserve">If you are eligible for UW supplementary benefits (Top-up), once your EI benefits have been approved by Service Canada, provide Payroll with a </w:t>
            </w:r>
            <w:r w:rsidRPr="00A50544">
              <w:rPr>
                <w:color w:val="000000" w:themeColor="text1"/>
                <w:sz w:val="20"/>
                <w:szCs w:val="20"/>
              </w:rPr>
              <w:t xml:space="preserve">screenshot or printout (see </w:t>
            </w:r>
            <w:r>
              <w:rPr>
                <w:color w:val="000000" w:themeColor="text1"/>
                <w:sz w:val="20"/>
                <w:szCs w:val="20"/>
              </w:rPr>
              <w:t>below</w:t>
            </w:r>
            <w:r w:rsidRPr="00A50544">
              <w:rPr>
                <w:color w:val="000000" w:themeColor="text1"/>
                <w:sz w:val="20"/>
                <w:szCs w:val="20"/>
              </w:rPr>
              <w:t xml:space="preserve"> the checklist for an example) of your Service Canada account showing your assessed weekly EI benefits. Submit paperwork </w:t>
            </w:r>
            <w:r w:rsidRPr="00A50544">
              <w:rPr>
                <w:sz w:val="20"/>
                <w:szCs w:val="20"/>
              </w:rPr>
              <w:t xml:space="preserve">to HR, </w:t>
            </w:r>
            <w:r w:rsidR="002261B6">
              <w:rPr>
                <w:sz w:val="20"/>
                <w:szCs w:val="20"/>
              </w:rPr>
              <w:t>EC1</w:t>
            </w:r>
            <w:r w:rsidRPr="00A50544">
              <w:rPr>
                <w:sz w:val="20"/>
                <w:szCs w:val="20"/>
              </w:rPr>
              <w:t xml:space="preserve"> or via email to </w:t>
            </w:r>
            <w:hyperlink r:id="rId17" w:history="1">
              <w:r w:rsidRPr="00A50544">
                <w:rPr>
                  <w:rStyle w:val="Hyperlink"/>
                  <w:sz w:val="20"/>
                  <w:szCs w:val="20"/>
                </w:rPr>
                <w:t>hrhelp@uwaterloo.ca</w:t>
              </w:r>
            </w:hyperlink>
            <w:r w:rsidRPr="00A50544">
              <w:rPr>
                <w:sz w:val="20"/>
                <w:szCs w:val="20"/>
              </w:rPr>
              <w:t>.</w:t>
            </w:r>
          </w:p>
          <w:p w:rsidR="00503A36" w:rsidRPr="00027E66" w:rsidRDefault="00503A36" w:rsidP="008D65F0">
            <w:pPr>
              <w:spacing w:after="140"/>
              <w:rPr>
                <w:b/>
                <w:sz w:val="20"/>
                <w:szCs w:val="20"/>
              </w:rPr>
            </w:pPr>
            <w:r w:rsidRPr="00027E66">
              <w:rPr>
                <w:b/>
                <w:sz w:val="20"/>
                <w:szCs w:val="20"/>
              </w:rPr>
              <w:t xml:space="preserve">Top-up payments cannot be processed until this has been received.  </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Pr="009B78F4" w:rsidRDefault="00503A36" w:rsidP="008D65F0">
            <w:pPr>
              <w:spacing w:after="140"/>
              <w:jc w:val="center"/>
              <w:rPr>
                <w:b/>
              </w:rPr>
            </w:pPr>
            <w:r>
              <w:rPr>
                <w:b/>
              </w:rPr>
              <w:t>2.</w:t>
            </w:r>
          </w:p>
        </w:tc>
        <w:tc>
          <w:tcPr>
            <w:tcW w:w="8910" w:type="dxa"/>
          </w:tcPr>
          <w:p w:rsidR="00503A36" w:rsidRPr="00AB292E" w:rsidRDefault="00503A36" w:rsidP="002261B6">
            <w:pPr>
              <w:spacing w:after="140"/>
              <w:rPr>
                <w:sz w:val="20"/>
                <w:szCs w:val="20"/>
              </w:rPr>
            </w:pPr>
            <w:r w:rsidRPr="00545BE3">
              <w:rPr>
                <w:sz w:val="20"/>
                <w:szCs w:val="20"/>
              </w:rPr>
              <w:t>Complete the</w:t>
            </w:r>
            <w:r w:rsidR="006E64E7">
              <w:rPr>
                <w:sz w:val="20"/>
                <w:szCs w:val="20"/>
              </w:rPr>
              <w:t xml:space="preserve"> </w:t>
            </w:r>
            <w:hyperlink r:id="rId18" w:history="1">
              <w:r w:rsidR="006E64E7">
                <w:rPr>
                  <w:rStyle w:val="Hyperlink"/>
                  <w:sz w:val="20"/>
                  <w:szCs w:val="20"/>
                </w:rPr>
                <w:t>Benefits Enrolment and Change Form</w:t>
              </w:r>
            </w:hyperlink>
            <w:r w:rsidR="006E64E7">
              <w:rPr>
                <w:sz w:val="20"/>
                <w:szCs w:val="20"/>
              </w:rPr>
              <w:t xml:space="preserve"> </w:t>
            </w:r>
            <w:r w:rsidRPr="00545BE3">
              <w:rPr>
                <w:sz w:val="20"/>
                <w:szCs w:val="20"/>
              </w:rPr>
              <w:t xml:space="preserve">with your child’s personal information so that they can be added to your benefit plan.  Submit the form to Human Resources, </w:t>
            </w:r>
            <w:r w:rsidR="002261B6">
              <w:rPr>
                <w:sz w:val="20"/>
                <w:szCs w:val="20"/>
              </w:rPr>
              <w:t>EC1</w:t>
            </w:r>
            <w:r w:rsidRPr="00545BE3">
              <w:rPr>
                <w:sz w:val="20"/>
                <w:szCs w:val="20"/>
              </w:rPr>
              <w:t xml:space="preserve">, or email to </w:t>
            </w:r>
            <w:hyperlink r:id="rId19" w:history="1">
              <w:r w:rsidR="006E64E7" w:rsidRPr="00FF37D9">
                <w:rPr>
                  <w:rStyle w:val="Hyperlink"/>
                  <w:sz w:val="20"/>
                  <w:szCs w:val="20"/>
                </w:rPr>
                <w:t>hrhelp@uwaterloo.ca</w:t>
              </w:r>
            </w:hyperlink>
            <w:r>
              <w:rPr>
                <w:sz w:val="20"/>
                <w:szCs w:val="20"/>
              </w:rPr>
              <w:t>.</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715" w:type="dxa"/>
          </w:tcPr>
          <w:p w:rsidR="00503A36" w:rsidRDefault="00503A36" w:rsidP="008D65F0">
            <w:pPr>
              <w:spacing w:after="140"/>
              <w:jc w:val="center"/>
              <w:rPr>
                <w:b/>
              </w:rPr>
            </w:pPr>
            <w:r>
              <w:rPr>
                <w:b/>
              </w:rPr>
              <w:t>3.</w:t>
            </w:r>
          </w:p>
        </w:tc>
        <w:tc>
          <w:tcPr>
            <w:tcW w:w="8910" w:type="dxa"/>
          </w:tcPr>
          <w:p w:rsidR="00503A36" w:rsidRPr="00AB292E" w:rsidRDefault="00503A36" w:rsidP="008D65F0">
            <w:pPr>
              <w:spacing w:after="140"/>
              <w:rPr>
                <w:sz w:val="20"/>
                <w:szCs w:val="20"/>
              </w:rPr>
            </w:pPr>
            <w:r>
              <w:rPr>
                <w:sz w:val="20"/>
                <w:szCs w:val="20"/>
              </w:rPr>
              <w:t>If you plan on returning to work earlier or later than originally scheduled, provide your manager and Human Resources with written notice of your intention at least four weeks prior to your new return date.</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r w:rsidR="00503A36" w:rsidTr="008D65F0">
        <w:tc>
          <w:tcPr>
            <w:tcW w:w="10885" w:type="dxa"/>
            <w:gridSpan w:val="3"/>
            <w:shd w:val="clear" w:color="auto" w:fill="0070C0"/>
          </w:tcPr>
          <w:p w:rsidR="00503A36" w:rsidRPr="00B45D4B" w:rsidRDefault="00503A36" w:rsidP="008D65F0">
            <w:pPr>
              <w:spacing w:after="140"/>
              <w:rPr>
                <w:color w:val="FFFFFF" w:themeColor="background1"/>
                <w:sz w:val="28"/>
                <w:szCs w:val="28"/>
              </w:rPr>
            </w:pPr>
            <w:r>
              <w:rPr>
                <w:color w:val="FFFFFF" w:themeColor="background1"/>
                <w:sz w:val="28"/>
                <w:szCs w:val="28"/>
              </w:rPr>
              <w:t>After your leave</w:t>
            </w:r>
          </w:p>
        </w:tc>
      </w:tr>
      <w:tr w:rsidR="00503A36" w:rsidTr="008D65F0">
        <w:tc>
          <w:tcPr>
            <w:tcW w:w="715" w:type="dxa"/>
          </w:tcPr>
          <w:p w:rsidR="00503A36" w:rsidRDefault="00503A36" w:rsidP="008D65F0">
            <w:pPr>
              <w:spacing w:after="140"/>
              <w:jc w:val="center"/>
              <w:rPr>
                <w:b/>
              </w:rPr>
            </w:pPr>
            <w:r>
              <w:rPr>
                <w:b/>
              </w:rPr>
              <w:t>1.</w:t>
            </w:r>
          </w:p>
        </w:tc>
        <w:tc>
          <w:tcPr>
            <w:tcW w:w="8910" w:type="dxa"/>
          </w:tcPr>
          <w:p w:rsidR="00503A36" w:rsidRDefault="00503A36" w:rsidP="008D65F0">
            <w:pPr>
              <w:spacing w:after="140"/>
              <w:rPr>
                <w:sz w:val="20"/>
                <w:szCs w:val="20"/>
              </w:rPr>
            </w:pPr>
            <w:r>
              <w:rPr>
                <w:sz w:val="20"/>
                <w:szCs w:val="20"/>
              </w:rPr>
              <w:t xml:space="preserve">Go to </w:t>
            </w:r>
            <w:hyperlink r:id="rId20" w:history="1">
              <w:r w:rsidRPr="00A13690">
                <w:rPr>
                  <w:rStyle w:val="Hyperlink"/>
                  <w:sz w:val="20"/>
                  <w:szCs w:val="20"/>
                </w:rPr>
                <w:t>Parking Services</w:t>
              </w:r>
            </w:hyperlink>
            <w:r>
              <w:rPr>
                <w:sz w:val="20"/>
                <w:szCs w:val="20"/>
              </w:rPr>
              <w:t xml:space="preserve"> to have your parking permit re-instated if applicable. </w:t>
            </w:r>
          </w:p>
        </w:tc>
        <w:tc>
          <w:tcPr>
            <w:tcW w:w="1260" w:type="dxa"/>
          </w:tcPr>
          <w:p w:rsidR="00503A36" w:rsidRPr="00AB7454" w:rsidRDefault="00503A36" w:rsidP="008D65F0">
            <w:pPr>
              <w:spacing w:after="140"/>
              <w:jc w:val="center"/>
              <w:rPr>
                <w:sz w:val="32"/>
                <w:szCs w:val="32"/>
              </w:rPr>
            </w:pPr>
            <w:r w:rsidRPr="00AB7454">
              <w:rPr>
                <w:sz w:val="32"/>
                <w:szCs w:val="32"/>
              </w:rPr>
              <w:sym w:font="Wingdings" w:char="F071"/>
            </w:r>
          </w:p>
        </w:tc>
      </w:tr>
    </w:tbl>
    <w:p w:rsidR="00503A36" w:rsidRDefault="00503A36" w:rsidP="00503A36">
      <w:pPr>
        <w:rPr>
          <w:b/>
          <w:sz w:val="20"/>
          <w:szCs w:val="20"/>
        </w:rPr>
      </w:pPr>
    </w:p>
    <w:p w:rsidR="00503A36" w:rsidRDefault="00503A36" w:rsidP="00503A36">
      <w:pPr>
        <w:rPr>
          <w:b/>
          <w:sz w:val="24"/>
        </w:rPr>
      </w:pPr>
      <w:r w:rsidRPr="00A50544">
        <w:rPr>
          <w:b/>
          <w:sz w:val="24"/>
        </w:rPr>
        <w:t>Example of Service Canada account showing y</w:t>
      </w:r>
      <w:r>
        <w:rPr>
          <w:b/>
          <w:sz w:val="24"/>
        </w:rPr>
        <w:t xml:space="preserve">our assessed weekly EI benefits: </w:t>
      </w:r>
    </w:p>
    <w:p w:rsidR="00AC273E" w:rsidRPr="00144015" w:rsidRDefault="00E04A83" w:rsidP="00E04A83">
      <w:pPr>
        <w:jc w:val="center"/>
      </w:pPr>
      <w:r>
        <w:rPr>
          <w:noProof/>
        </w:rPr>
        <w:drawing>
          <wp:inline distT="0" distB="0" distL="0" distR="0" wp14:anchorId="6F46E624" wp14:editId="0DF7ED4A">
            <wp:extent cx="2752725" cy="238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3937" cy="2393108"/>
                    </a:xfrm>
                    <a:prstGeom prst="rect">
                      <a:avLst/>
                    </a:prstGeom>
                  </pic:spPr>
                </pic:pic>
              </a:graphicData>
            </a:graphic>
          </wp:inline>
        </w:drawing>
      </w:r>
    </w:p>
    <w:sectPr w:rsidR="00AC273E" w:rsidRPr="00144015" w:rsidSect="00281325">
      <w:headerReference w:type="default" r:id="rId22"/>
      <w:footerReference w:type="default" r:id="rId23"/>
      <w:pgSz w:w="12240" w:h="15840" w:code="1"/>
      <w:pgMar w:top="1440" w:right="450" w:bottom="1440" w:left="1440" w:header="720" w:footer="14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94" w:rsidRDefault="008B6194" w:rsidP="00DC02F0">
      <w:pPr>
        <w:spacing w:after="0" w:line="240" w:lineRule="auto"/>
      </w:pPr>
      <w:r>
        <w:separator/>
      </w:r>
    </w:p>
  </w:endnote>
  <w:endnote w:type="continuationSeparator" w:id="0">
    <w:p w:rsidR="008B6194" w:rsidRDefault="008B6194" w:rsidP="00DC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1768"/>
      <w:gridCol w:w="1305"/>
      <w:gridCol w:w="902"/>
    </w:tblGrid>
    <w:tr w:rsidR="00AB1174" w:rsidRPr="00DC02F0" w:rsidTr="00AB1174">
      <w:trPr>
        <w:trHeight w:val="437"/>
        <w:jc w:val="center"/>
      </w:trPr>
      <w:tc>
        <w:tcPr>
          <w:tcW w:w="2285" w:type="dxa"/>
        </w:tcPr>
        <w:p w:rsidR="00AB1174" w:rsidRPr="00DC02F0" w:rsidRDefault="00AB1174"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Form Title</w:t>
          </w:r>
        </w:p>
        <w:p w:rsidR="00AB1174" w:rsidRPr="00DC02F0" w:rsidRDefault="00AB1174" w:rsidP="00DC02F0">
          <w:pPr>
            <w:autoSpaceDE w:val="0"/>
            <w:autoSpaceDN w:val="0"/>
            <w:adjustRightInd w:val="0"/>
            <w:spacing w:after="0" w:line="240" w:lineRule="atLeast"/>
            <w:jc w:val="center"/>
            <w:rPr>
              <w:rFonts w:eastAsia="Times New Roman" w:cs="Times New Roman"/>
              <w:b/>
              <w:bCs/>
              <w:color w:val="000000"/>
              <w:sz w:val="16"/>
              <w:szCs w:val="16"/>
            </w:rPr>
          </w:pPr>
          <w:r w:rsidRPr="00AB1174">
            <w:rPr>
              <w:rFonts w:eastAsia="Times New Roman" w:cs="Times New Roman"/>
              <w:b/>
              <w:bCs/>
              <w:color w:val="000000"/>
              <w:sz w:val="16"/>
              <w:szCs w:val="16"/>
            </w:rPr>
            <w:t>Pregnancy and Parental Leave of Absence Checklist</w:t>
          </w:r>
        </w:p>
      </w:tc>
      <w:tc>
        <w:tcPr>
          <w:tcW w:w="1768" w:type="dxa"/>
        </w:tcPr>
        <w:p w:rsidR="00AB1174" w:rsidRPr="00DC02F0" w:rsidRDefault="00AB1174"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Date</w:t>
          </w:r>
          <w:r w:rsidRPr="00DC02F0">
            <w:rPr>
              <w:rFonts w:eastAsia="Times New Roman" w:cs="Times New Roman"/>
              <w:b/>
              <w:bCs/>
              <w:sz w:val="16"/>
              <w:szCs w:val="16"/>
            </w:rPr>
            <w:t xml:space="preserve"> </w:t>
          </w:r>
        </w:p>
        <w:p w:rsidR="00AB1174" w:rsidRPr="00DC02F0" w:rsidRDefault="00AB1174"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2/19/2016</w:t>
          </w:r>
        </w:p>
      </w:tc>
      <w:tc>
        <w:tcPr>
          <w:tcW w:w="1305" w:type="dxa"/>
        </w:tcPr>
        <w:p w:rsidR="00AB1174" w:rsidRPr="00DC02F0" w:rsidRDefault="00AB1174"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Revision</w:t>
          </w:r>
        </w:p>
        <w:p w:rsidR="00AB1174" w:rsidRPr="00DC02F0" w:rsidRDefault="00AB1174" w:rsidP="00DC02F0">
          <w:pPr>
            <w:autoSpaceDE w:val="0"/>
            <w:autoSpaceDN w:val="0"/>
            <w:adjustRightInd w:val="0"/>
            <w:spacing w:after="0" w:line="240" w:lineRule="atLeast"/>
            <w:jc w:val="center"/>
            <w:rPr>
              <w:rFonts w:eastAsia="Times New Roman" w:cs="Times New Roman"/>
              <w:b/>
              <w:bCs/>
              <w:sz w:val="16"/>
              <w:szCs w:val="16"/>
            </w:rPr>
          </w:pPr>
          <w:r>
            <w:rPr>
              <w:rFonts w:eastAsia="Times New Roman" w:cs="Times New Roman"/>
              <w:b/>
              <w:bCs/>
              <w:sz w:val="16"/>
              <w:szCs w:val="16"/>
            </w:rPr>
            <w:t>1</w:t>
          </w:r>
          <w:r w:rsidRPr="00DC02F0">
            <w:rPr>
              <w:rFonts w:eastAsia="Times New Roman" w:cs="Times New Roman"/>
              <w:b/>
              <w:bCs/>
              <w:sz w:val="16"/>
              <w:szCs w:val="16"/>
            </w:rPr>
            <w:t xml:space="preserve">      </w:t>
          </w:r>
        </w:p>
      </w:tc>
      <w:tc>
        <w:tcPr>
          <w:tcW w:w="902" w:type="dxa"/>
        </w:tcPr>
        <w:p w:rsidR="00AB1174" w:rsidRPr="00DC02F0" w:rsidRDefault="00AB1174" w:rsidP="00DC02F0">
          <w:pPr>
            <w:autoSpaceDE w:val="0"/>
            <w:autoSpaceDN w:val="0"/>
            <w:adjustRightInd w:val="0"/>
            <w:spacing w:after="0" w:line="240" w:lineRule="atLeast"/>
            <w:jc w:val="center"/>
            <w:rPr>
              <w:rFonts w:eastAsia="Times New Roman" w:cs="Times New Roman"/>
              <w:b/>
              <w:bCs/>
              <w:color w:val="000000"/>
              <w:sz w:val="16"/>
              <w:szCs w:val="16"/>
            </w:rPr>
          </w:pPr>
          <w:r>
            <w:rPr>
              <w:rFonts w:eastAsia="Times New Roman" w:cs="Times New Roman"/>
              <w:b/>
              <w:bCs/>
              <w:color w:val="000000"/>
              <w:sz w:val="16"/>
              <w:szCs w:val="16"/>
            </w:rPr>
            <w:t>Page</w:t>
          </w:r>
        </w:p>
        <w:p w:rsidR="00AB1174" w:rsidRPr="00DC02F0" w:rsidRDefault="00AB1174" w:rsidP="00DC02F0">
          <w:pPr>
            <w:autoSpaceDE w:val="0"/>
            <w:autoSpaceDN w:val="0"/>
            <w:adjustRightInd w:val="0"/>
            <w:spacing w:after="0" w:line="240" w:lineRule="atLeast"/>
            <w:jc w:val="center"/>
            <w:rPr>
              <w:rFonts w:eastAsia="Times New Roman" w:cs="Times New Roman"/>
              <w:b/>
              <w:bCs/>
              <w:color w:val="000000"/>
              <w:sz w:val="16"/>
              <w:szCs w:val="16"/>
            </w:rPr>
          </w:pPr>
          <w:r w:rsidRPr="00DC02F0">
            <w:rPr>
              <w:rFonts w:eastAsia="Times New Roman" w:cs="Times New Roman"/>
              <w:b/>
              <w:sz w:val="16"/>
              <w:szCs w:val="16"/>
            </w:rPr>
            <w:fldChar w:fldCharType="begin"/>
          </w:r>
          <w:r w:rsidRPr="00DC02F0">
            <w:rPr>
              <w:rFonts w:eastAsia="Times New Roman" w:cs="Times New Roman"/>
              <w:b/>
              <w:sz w:val="16"/>
              <w:szCs w:val="16"/>
            </w:rPr>
            <w:instrText xml:space="preserve"> PAGE </w:instrText>
          </w:r>
          <w:r w:rsidRPr="00DC02F0">
            <w:rPr>
              <w:rFonts w:eastAsia="Times New Roman" w:cs="Times New Roman"/>
              <w:b/>
              <w:sz w:val="16"/>
              <w:szCs w:val="16"/>
            </w:rPr>
            <w:fldChar w:fldCharType="separate"/>
          </w:r>
          <w:r w:rsidR="00453E72">
            <w:rPr>
              <w:rFonts w:eastAsia="Times New Roman" w:cs="Times New Roman"/>
              <w:b/>
              <w:noProof/>
              <w:sz w:val="16"/>
              <w:szCs w:val="16"/>
            </w:rPr>
            <w:t>2</w:t>
          </w:r>
          <w:r w:rsidRPr="00DC02F0">
            <w:rPr>
              <w:rFonts w:eastAsia="Times New Roman" w:cs="Times New Roman"/>
              <w:b/>
              <w:sz w:val="16"/>
              <w:szCs w:val="16"/>
            </w:rPr>
            <w:fldChar w:fldCharType="end"/>
          </w:r>
          <w:r w:rsidRPr="00DC02F0">
            <w:rPr>
              <w:rFonts w:eastAsia="Times New Roman" w:cs="Times New Roman"/>
              <w:b/>
              <w:sz w:val="16"/>
              <w:szCs w:val="16"/>
            </w:rPr>
            <w:t xml:space="preserve"> of </w:t>
          </w:r>
          <w:r w:rsidRPr="00DC02F0">
            <w:rPr>
              <w:rFonts w:eastAsia="Times New Roman" w:cs="Times New Roman"/>
              <w:b/>
              <w:sz w:val="16"/>
              <w:szCs w:val="16"/>
            </w:rPr>
            <w:fldChar w:fldCharType="begin"/>
          </w:r>
          <w:r w:rsidRPr="00DC02F0">
            <w:rPr>
              <w:rFonts w:eastAsia="Times New Roman" w:cs="Times New Roman"/>
              <w:b/>
              <w:sz w:val="16"/>
              <w:szCs w:val="16"/>
            </w:rPr>
            <w:instrText xml:space="preserve"> NUMPAGES </w:instrText>
          </w:r>
          <w:r w:rsidRPr="00DC02F0">
            <w:rPr>
              <w:rFonts w:eastAsia="Times New Roman" w:cs="Times New Roman"/>
              <w:b/>
              <w:sz w:val="16"/>
              <w:szCs w:val="16"/>
            </w:rPr>
            <w:fldChar w:fldCharType="separate"/>
          </w:r>
          <w:r w:rsidR="00453E72">
            <w:rPr>
              <w:rFonts w:eastAsia="Times New Roman" w:cs="Times New Roman"/>
              <w:b/>
              <w:noProof/>
              <w:sz w:val="16"/>
              <w:szCs w:val="16"/>
            </w:rPr>
            <w:t>2</w:t>
          </w:r>
          <w:r w:rsidRPr="00DC02F0">
            <w:rPr>
              <w:rFonts w:eastAsia="Times New Roman" w:cs="Times New Roman"/>
              <w:b/>
              <w:sz w:val="16"/>
              <w:szCs w:val="16"/>
            </w:rPr>
            <w:fldChar w:fldCharType="end"/>
          </w:r>
          <w:r w:rsidRPr="00DC02F0">
            <w:rPr>
              <w:rFonts w:eastAsia="Times New Roman" w:cs="Times New Roman"/>
              <w:b/>
              <w:bCs/>
              <w:color w:val="000000"/>
              <w:sz w:val="16"/>
              <w:szCs w:val="16"/>
            </w:rPr>
            <w:t xml:space="preserve">           </w:t>
          </w:r>
        </w:p>
      </w:tc>
    </w:tr>
  </w:tbl>
  <w:p w:rsidR="009915AC" w:rsidRDefault="009915AC" w:rsidP="00AB1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94" w:rsidRDefault="008B6194" w:rsidP="00DC02F0">
      <w:pPr>
        <w:spacing w:after="0" w:line="240" w:lineRule="auto"/>
      </w:pPr>
      <w:r>
        <w:separator/>
      </w:r>
    </w:p>
  </w:footnote>
  <w:footnote w:type="continuationSeparator" w:id="0">
    <w:p w:rsidR="008B6194" w:rsidRDefault="008B6194" w:rsidP="00DC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1C7" w:rsidRDefault="0043105D" w:rsidP="00C061C7">
    <w:pPr>
      <w:pStyle w:val="Header"/>
      <w:jc w:val="center"/>
      <w:rPr>
        <w:b/>
        <w:sz w:val="24"/>
        <w:szCs w:val="24"/>
      </w:rPr>
    </w:pPr>
    <w:r w:rsidRPr="0043105D">
      <w:rPr>
        <w:b/>
        <w:noProof/>
        <w:sz w:val="24"/>
        <w:szCs w:val="24"/>
      </w:rPr>
      <mc:AlternateContent>
        <mc:Choice Requires="wps">
          <w:drawing>
            <wp:anchor distT="0" distB="0" distL="114300" distR="114300" simplePos="0" relativeHeight="251662336" behindDoc="0" locked="0" layoutInCell="1" allowOverlap="1" wp14:anchorId="1C72AA1A" wp14:editId="75F461A9">
              <wp:simplePos x="0" y="0"/>
              <wp:positionH relativeFrom="column">
                <wp:posOffset>-866775</wp:posOffset>
              </wp:positionH>
              <wp:positionV relativeFrom="paragraph">
                <wp:posOffset>-304800</wp:posOffset>
              </wp:positionV>
              <wp:extent cx="1457325" cy="942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42975"/>
                      </a:xfrm>
                      <a:prstGeom prst="rect">
                        <a:avLst/>
                      </a:prstGeom>
                      <a:solidFill>
                        <a:srgbClr val="FFFFFF"/>
                      </a:solidFill>
                      <a:ln w="9525">
                        <a:noFill/>
                        <a:miter lim="800000"/>
                        <a:headEnd/>
                        <a:tailEnd/>
                      </a:ln>
                    </wps:spPr>
                    <wps:txbx>
                      <w:txbxContent>
                        <w:p w:rsidR="0043105D" w:rsidRDefault="0043105D">
                          <w:r>
                            <w:rPr>
                              <w:b/>
                              <w:noProof/>
                              <w:sz w:val="24"/>
                              <w:szCs w:val="24"/>
                            </w:rPr>
                            <w:drawing>
                              <wp:inline distT="0" distB="0" distL="0" distR="0" wp14:anchorId="44DC8F73" wp14:editId="5C77FE0D">
                                <wp:extent cx="150171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403" cy="98234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2AA1A" id="_x0000_t202" coordsize="21600,21600" o:spt="202" path="m,l,21600r21600,l21600,xe">
              <v:stroke joinstyle="miter"/>
              <v:path gradientshapeok="t" o:connecttype="rect"/>
            </v:shapetype>
            <v:shape id="Text Box 2" o:spid="_x0000_s1026" type="#_x0000_t202" style="position:absolute;left:0;text-align:left;margin-left:-68.25pt;margin-top:-24pt;width:114.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" stroked="f">
              <v:textbox>
                <w:txbxContent>
                  <w:p w:rsidR="0043105D" w:rsidRDefault="0043105D">
                    <w:r>
                      <w:rPr>
                        <w:b/>
                        <w:noProof/>
                        <w:sz w:val="24"/>
                        <w:szCs w:val="24"/>
                      </w:rPr>
                      <w:drawing>
                        <wp:inline distT="0" distB="0" distL="0" distR="0" wp14:anchorId="44DC8F73" wp14:editId="5C77FE0D">
                          <wp:extent cx="150171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403" cy="982349"/>
                                  </a:xfrm>
                                  <a:prstGeom prst="rect">
                                    <a:avLst/>
                                  </a:prstGeom>
                                  <a:noFill/>
                                </pic:spPr>
                              </pic:pic>
                            </a:graphicData>
                          </a:graphic>
                        </wp:inline>
                      </w:drawing>
                    </w:r>
                  </w:p>
                </w:txbxContent>
              </v:textbox>
            </v:shape>
          </w:pict>
        </mc:Fallback>
      </mc:AlternateContent>
    </w:r>
    <w:r w:rsidR="00C061C7">
      <w:rPr>
        <w:b/>
        <w:noProof/>
        <w:sz w:val="24"/>
        <w:szCs w:val="24"/>
      </w:rPr>
      <w:drawing>
        <wp:inline distT="0" distB="0" distL="0" distR="0" wp14:anchorId="3B5395C4" wp14:editId="10A56655">
          <wp:extent cx="47529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2975" cy="285750"/>
                  </a:xfrm>
                  <a:prstGeom prst="rect">
                    <a:avLst/>
                  </a:prstGeom>
                  <a:noFill/>
                  <a:ln>
                    <a:noFill/>
                  </a:ln>
                </pic:spPr>
              </pic:pic>
            </a:graphicData>
          </a:graphic>
        </wp:inline>
      </w:drawing>
    </w:r>
  </w:p>
  <w:p w:rsidR="00DC02F0" w:rsidRDefault="005B46A6">
    <w:pPr>
      <w:pStyle w:val="Header"/>
    </w:pPr>
    <w:r>
      <w:rPr>
        <w:b/>
        <w:sz w:val="28"/>
        <w:szCs w:val="28"/>
      </w:rPr>
      <w:t xml:space="preserve">         </w:t>
    </w:r>
    <w:r w:rsidR="000469DE">
      <w:rPr>
        <w:b/>
        <w:sz w:val="28"/>
        <w:szCs w:val="28"/>
      </w:rPr>
      <w:t xml:space="preserve">    </w:t>
    </w:r>
    <w:r w:rsidR="0043105D">
      <w:rPr>
        <w:b/>
        <w:sz w:val="28"/>
        <w:szCs w:val="28"/>
      </w:rPr>
      <w:t xml:space="preserve">   </w:t>
    </w:r>
    <w:r w:rsidR="00806E85">
      <w:rPr>
        <w:b/>
        <w:sz w:val="28"/>
        <w:szCs w:val="28"/>
      </w:rPr>
      <w:t xml:space="preserve">   </w:t>
    </w:r>
    <w:r w:rsidR="008A3D90">
      <w:rPr>
        <w:b/>
        <w:sz w:val="28"/>
        <w:szCs w:val="28"/>
      </w:rPr>
      <w:t xml:space="preserve">    </w:t>
    </w:r>
    <w:r w:rsidR="00144015">
      <w:rPr>
        <w:b/>
        <w:sz w:val="28"/>
        <w:szCs w:val="28"/>
      </w:rPr>
      <w:t xml:space="preserve">Pregnancy and Parental </w:t>
    </w:r>
    <w:r w:rsidR="003D4C53">
      <w:rPr>
        <w:b/>
        <w:sz w:val="28"/>
        <w:szCs w:val="28"/>
      </w:rPr>
      <w:t xml:space="preserve">Leave of Absence </w:t>
    </w:r>
    <w:r w:rsidR="00784CC4">
      <w:rPr>
        <w:b/>
        <w:sz w:val="28"/>
        <w:szCs w:val="28"/>
      </w:rPr>
      <w:t>Checklist</w:t>
    </w:r>
    <w:r w:rsidR="00453E72">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565B"/>
    <w:multiLevelType w:val="hybridMultilevel"/>
    <w:tmpl w:val="3B300872"/>
    <w:lvl w:ilvl="0" w:tplc="F0C0B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02C0"/>
    <w:multiLevelType w:val="hybridMultilevel"/>
    <w:tmpl w:val="6F72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5C1471"/>
    <w:multiLevelType w:val="hybridMultilevel"/>
    <w:tmpl w:val="EAF0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0"/>
    <w:rsid w:val="00013F21"/>
    <w:rsid w:val="00042EDA"/>
    <w:rsid w:val="000469DE"/>
    <w:rsid w:val="000A2E7C"/>
    <w:rsid w:val="000B2112"/>
    <w:rsid w:val="001406F0"/>
    <w:rsid w:val="00144015"/>
    <w:rsid w:val="00180C2D"/>
    <w:rsid w:val="001912A4"/>
    <w:rsid w:val="001934A2"/>
    <w:rsid w:val="00193B64"/>
    <w:rsid w:val="001A1E24"/>
    <w:rsid w:val="001B172D"/>
    <w:rsid w:val="001C10EB"/>
    <w:rsid w:val="001C7AC7"/>
    <w:rsid w:val="001D2CFA"/>
    <w:rsid w:val="001E06B0"/>
    <w:rsid w:val="00205FDA"/>
    <w:rsid w:val="002165FE"/>
    <w:rsid w:val="002261B6"/>
    <w:rsid w:val="00252ACE"/>
    <w:rsid w:val="00267852"/>
    <w:rsid w:val="00281325"/>
    <w:rsid w:val="002E016C"/>
    <w:rsid w:val="00305CE1"/>
    <w:rsid w:val="00327037"/>
    <w:rsid w:val="00372946"/>
    <w:rsid w:val="00375436"/>
    <w:rsid w:val="003B5D5C"/>
    <w:rsid w:val="003D4BA3"/>
    <w:rsid w:val="003D4C53"/>
    <w:rsid w:val="00420462"/>
    <w:rsid w:val="00423400"/>
    <w:rsid w:val="0043105D"/>
    <w:rsid w:val="004402D2"/>
    <w:rsid w:val="00445DF6"/>
    <w:rsid w:val="00453E19"/>
    <w:rsid w:val="00453E72"/>
    <w:rsid w:val="00492D41"/>
    <w:rsid w:val="004A0F93"/>
    <w:rsid w:val="004F5604"/>
    <w:rsid w:val="00503A36"/>
    <w:rsid w:val="00520672"/>
    <w:rsid w:val="00543911"/>
    <w:rsid w:val="00545D7C"/>
    <w:rsid w:val="005646D5"/>
    <w:rsid w:val="005B2E9A"/>
    <w:rsid w:val="005B46A6"/>
    <w:rsid w:val="005C1E6E"/>
    <w:rsid w:val="006C25CF"/>
    <w:rsid w:val="006C6DF7"/>
    <w:rsid w:val="006E64E7"/>
    <w:rsid w:val="0070074D"/>
    <w:rsid w:val="00721D72"/>
    <w:rsid w:val="00784CC4"/>
    <w:rsid w:val="007A2364"/>
    <w:rsid w:val="007B5F16"/>
    <w:rsid w:val="007D047D"/>
    <w:rsid w:val="007F3B25"/>
    <w:rsid w:val="00806E85"/>
    <w:rsid w:val="008332BA"/>
    <w:rsid w:val="0083338E"/>
    <w:rsid w:val="008A3D90"/>
    <w:rsid w:val="008A487C"/>
    <w:rsid w:val="008B6194"/>
    <w:rsid w:val="008C66AC"/>
    <w:rsid w:val="008F6B6E"/>
    <w:rsid w:val="00910732"/>
    <w:rsid w:val="00923CFE"/>
    <w:rsid w:val="00930399"/>
    <w:rsid w:val="00933099"/>
    <w:rsid w:val="009359A5"/>
    <w:rsid w:val="00971E43"/>
    <w:rsid w:val="00972588"/>
    <w:rsid w:val="009915AC"/>
    <w:rsid w:val="00A6718C"/>
    <w:rsid w:val="00A907B4"/>
    <w:rsid w:val="00AB1174"/>
    <w:rsid w:val="00AB173D"/>
    <w:rsid w:val="00AB1C36"/>
    <w:rsid w:val="00AC273E"/>
    <w:rsid w:val="00B828AB"/>
    <w:rsid w:val="00BC2782"/>
    <w:rsid w:val="00BD79DA"/>
    <w:rsid w:val="00BE78D8"/>
    <w:rsid w:val="00C061C7"/>
    <w:rsid w:val="00C06986"/>
    <w:rsid w:val="00C431F6"/>
    <w:rsid w:val="00C56736"/>
    <w:rsid w:val="00C62F50"/>
    <w:rsid w:val="00CA771A"/>
    <w:rsid w:val="00D24450"/>
    <w:rsid w:val="00D269B1"/>
    <w:rsid w:val="00D55462"/>
    <w:rsid w:val="00D771B9"/>
    <w:rsid w:val="00D82185"/>
    <w:rsid w:val="00D83356"/>
    <w:rsid w:val="00D9155A"/>
    <w:rsid w:val="00DC02F0"/>
    <w:rsid w:val="00DC1688"/>
    <w:rsid w:val="00E04A83"/>
    <w:rsid w:val="00E11B9D"/>
    <w:rsid w:val="00E13E8C"/>
    <w:rsid w:val="00E2182E"/>
    <w:rsid w:val="00E24F08"/>
    <w:rsid w:val="00E36510"/>
    <w:rsid w:val="00E43A0B"/>
    <w:rsid w:val="00E554B5"/>
    <w:rsid w:val="00E56510"/>
    <w:rsid w:val="00E672C1"/>
    <w:rsid w:val="00E86CE9"/>
    <w:rsid w:val="00F20FB5"/>
    <w:rsid w:val="00F423B6"/>
    <w:rsid w:val="00F610BF"/>
    <w:rsid w:val="00F6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34C47D2-296B-4BA5-9A19-5D03D499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F0"/>
  </w:style>
  <w:style w:type="paragraph" w:styleId="Footer">
    <w:name w:val="footer"/>
    <w:basedOn w:val="Normal"/>
    <w:link w:val="FooterChar"/>
    <w:uiPriority w:val="99"/>
    <w:unhideWhenUsed/>
    <w:rsid w:val="00DC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F0"/>
  </w:style>
  <w:style w:type="paragraph" w:styleId="BalloonText">
    <w:name w:val="Balloon Text"/>
    <w:basedOn w:val="Normal"/>
    <w:link w:val="BalloonTextChar"/>
    <w:uiPriority w:val="99"/>
    <w:semiHidden/>
    <w:unhideWhenUsed/>
    <w:rsid w:val="00C0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C7"/>
    <w:rPr>
      <w:rFonts w:ascii="Tahoma" w:hAnsi="Tahoma" w:cs="Tahoma"/>
      <w:sz w:val="16"/>
      <w:szCs w:val="16"/>
    </w:rPr>
  </w:style>
  <w:style w:type="paragraph" w:styleId="BodyText">
    <w:name w:val="Body Text"/>
    <w:basedOn w:val="Normal"/>
    <w:link w:val="BodyTextChar"/>
    <w:unhideWhenUsed/>
    <w:rsid w:val="00971E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1E43"/>
    <w:rPr>
      <w:rFonts w:ascii="Times New Roman" w:eastAsia="Times New Roman" w:hAnsi="Times New Roman" w:cs="Times New Roman"/>
      <w:sz w:val="24"/>
      <w:szCs w:val="24"/>
    </w:rPr>
  </w:style>
  <w:style w:type="table" w:styleId="TableGrid">
    <w:name w:val="Table Grid"/>
    <w:basedOn w:val="TableNormal"/>
    <w:uiPriority w:val="59"/>
    <w:rsid w:val="003D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73E"/>
    <w:rPr>
      <w:color w:val="0000FF" w:themeColor="hyperlink"/>
      <w:u w:val="single"/>
    </w:rPr>
  </w:style>
  <w:style w:type="character" w:styleId="CommentReference">
    <w:name w:val="annotation reference"/>
    <w:basedOn w:val="DefaultParagraphFont"/>
    <w:uiPriority w:val="99"/>
    <w:semiHidden/>
    <w:unhideWhenUsed/>
    <w:rsid w:val="00E36510"/>
    <w:rPr>
      <w:sz w:val="16"/>
      <w:szCs w:val="16"/>
    </w:rPr>
  </w:style>
  <w:style w:type="paragraph" w:styleId="CommentText">
    <w:name w:val="annotation text"/>
    <w:basedOn w:val="Normal"/>
    <w:link w:val="CommentTextChar"/>
    <w:uiPriority w:val="99"/>
    <w:semiHidden/>
    <w:unhideWhenUsed/>
    <w:rsid w:val="00E36510"/>
    <w:pPr>
      <w:spacing w:line="240" w:lineRule="auto"/>
    </w:pPr>
    <w:rPr>
      <w:sz w:val="20"/>
      <w:szCs w:val="20"/>
    </w:rPr>
  </w:style>
  <w:style w:type="character" w:customStyle="1" w:styleId="CommentTextChar">
    <w:name w:val="Comment Text Char"/>
    <w:basedOn w:val="DefaultParagraphFont"/>
    <w:link w:val="CommentText"/>
    <w:uiPriority w:val="99"/>
    <w:semiHidden/>
    <w:rsid w:val="00E36510"/>
    <w:rPr>
      <w:sz w:val="20"/>
      <w:szCs w:val="20"/>
    </w:rPr>
  </w:style>
  <w:style w:type="paragraph" w:styleId="CommentSubject">
    <w:name w:val="annotation subject"/>
    <w:basedOn w:val="CommentText"/>
    <w:next w:val="CommentText"/>
    <w:link w:val="CommentSubjectChar"/>
    <w:uiPriority w:val="99"/>
    <w:semiHidden/>
    <w:unhideWhenUsed/>
    <w:rsid w:val="00E36510"/>
    <w:rPr>
      <w:b/>
      <w:bCs/>
    </w:rPr>
  </w:style>
  <w:style w:type="character" w:customStyle="1" w:styleId="CommentSubjectChar">
    <w:name w:val="Comment Subject Char"/>
    <w:basedOn w:val="CommentTextChar"/>
    <w:link w:val="CommentSubject"/>
    <w:uiPriority w:val="99"/>
    <w:semiHidden/>
    <w:rsid w:val="00E36510"/>
    <w:rPr>
      <w:b/>
      <w:bCs/>
      <w:sz w:val="20"/>
      <w:szCs w:val="20"/>
    </w:rPr>
  </w:style>
  <w:style w:type="paragraph" w:styleId="ListParagraph">
    <w:name w:val="List Paragraph"/>
    <w:basedOn w:val="Normal"/>
    <w:uiPriority w:val="34"/>
    <w:qFormat/>
    <w:rsid w:val="009359A5"/>
    <w:pPr>
      <w:ind w:left="720"/>
      <w:contextualSpacing/>
    </w:pPr>
  </w:style>
  <w:style w:type="character" w:styleId="FollowedHyperlink">
    <w:name w:val="FollowedHyperlink"/>
    <w:basedOn w:val="DefaultParagraphFont"/>
    <w:uiPriority w:val="99"/>
    <w:semiHidden/>
    <w:unhideWhenUsed/>
    <w:rsid w:val="00AB1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elp@uwaterloo.ca" TargetMode="External"/><Relationship Id="rId13" Type="http://schemas.openxmlformats.org/officeDocument/2006/relationships/hyperlink" Target="mailto:hrhelp@uwaterloo.ca" TargetMode="External"/><Relationship Id="rId18" Type="http://schemas.openxmlformats.org/officeDocument/2006/relationships/hyperlink" Target="https://uwaterloo.ca/human-resources/sites/ca.human-resources/files/uploads/files/benefit_enrolment_and_change_fillable.pdf"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14" TargetMode="External"/><Relationship Id="rId17" Type="http://schemas.openxmlformats.org/officeDocument/2006/relationships/hyperlink" Target="mailto:hrhelp@uwaterlo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vicecanada.gc.ca/cgi-bin/sc-srch.cgi?app=hme&amp;ln=eng" TargetMode="External"/><Relationship Id="rId20" Type="http://schemas.openxmlformats.org/officeDocument/2006/relationships/hyperlink" Target="https://uwaterloo.ca/par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canada.gc.ca/eng/sc/ei/benefits/maternityparental.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rvicecanada.gc.ca/eng/ei/publications/process.shtml" TargetMode="External"/><Relationship Id="rId23" Type="http://schemas.openxmlformats.org/officeDocument/2006/relationships/footer" Target="footer1.xml"/><Relationship Id="rId10" Type="http://schemas.openxmlformats.org/officeDocument/2006/relationships/hyperlink" Target="http://www.labour.gov.on.ca/english/es/pubs/guide/pregnancy.php" TargetMode="External"/><Relationship Id="rId19" Type="http://schemas.openxmlformats.org/officeDocument/2006/relationships/hyperlink" Target="mailto:hrhelp@uwaterloo.ca" TargetMode="External"/><Relationship Id="rId4" Type="http://schemas.openxmlformats.org/officeDocument/2006/relationships/settings" Target="settings.xml"/><Relationship Id="rId9" Type="http://schemas.openxmlformats.org/officeDocument/2006/relationships/hyperlink" Target="https://uwaterloo.ca/secretariat-general-counsel/policies-procedures-guidelines/policy-14" TargetMode="External"/><Relationship Id="rId14" Type="http://schemas.openxmlformats.org/officeDocument/2006/relationships/hyperlink" Target="https://uwaterloo.ca/park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DE67-400B-412F-A9FD-4AE19F06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Inacio, Dianne</dc:creator>
  <cp:lastModifiedBy>Ridgway, Trevor Scott</cp:lastModifiedBy>
  <cp:revision>2</cp:revision>
  <cp:lastPrinted>2016-02-16T19:53:00Z</cp:lastPrinted>
  <dcterms:created xsi:type="dcterms:W3CDTF">2016-06-06T15:41:00Z</dcterms:created>
  <dcterms:modified xsi:type="dcterms:W3CDTF">2016-06-06T15:41:00Z</dcterms:modified>
</cp:coreProperties>
</file>