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5B94FC8D" w:rsidP="2107A405" w:rsidRDefault="5B94FC8D" w14:paraId="0E8ACB95" w14:textId="536F62D4">
      <w:pPr>
        <w:pStyle w:val="Heading1"/>
        <w:rPr>
          <w:sz w:val="28"/>
          <w:szCs w:val="28"/>
        </w:rPr>
      </w:pPr>
      <w:r w:rsidRPr="65776B0C" w:rsidR="5B94FC8D">
        <w:rPr>
          <w:sz w:val="28"/>
          <w:szCs w:val="28"/>
        </w:rPr>
        <w:t>Comparison of Accessibility Features of MS Teams and Zoom</w:t>
      </w:r>
    </w:p>
    <w:p w:rsidR="68C6A57E" w:rsidP="65776B0C" w:rsidRDefault="68C6A57E" w14:paraId="3B71A1B6" w14:textId="74757618">
      <w:pPr>
        <w:pStyle w:val="Normal"/>
      </w:pPr>
      <w:r w:rsidR="68C6A57E">
        <w:rPr/>
        <w:t>Created by Christine Zaza and Samantha Fowler, Disability Inclusion Team, AccessAbility Services</w:t>
      </w:r>
    </w:p>
    <w:p w:rsidR="7E7C4653" w:rsidP="2107A405" w:rsidRDefault="00E36371" w14:paraId="4D17C3A3" w14:textId="1E94C2CD">
      <w:r>
        <w:t xml:space="preserve">The </w:t>
      </w:r>
      <w:r w:rsidR="00FB0003">
        <w:t xml:space="preserve">accessibility criteria in the </w:t>
      </w:r>
      <w:r>
        <w:t>following table appl</w:t>
      </w:r>
      <w:r w:rsidR="0033780E">
        <w:t>y</w:t>
      </w:r>
      <w:r>
        <w:t xml:space="preserve"> to all types of virtual gatherings in MS Teams (meeting, webinar, townhall) or Zooms (meeting, webinar, event) unless otherwise specified.</w:t>
      </w:r>
      <w:r w:rsidR="00DB137E">
        <w:t xml:space="preserve"> </w:t>
      </w:r>
      <w:r w:rsidRPr="009C70D5" w:rsidR="009C70D5">
        <w:t>Definitions</w:t>
      </w:r>
      <w:r w:rsidR="009C70D5">
        <w:t xml:space="preserve"> of the term “meeting”, “webinar”, “townhall” and “event” </w:t>
      </w:r>
      <w:r w:rsidR="00362631">
        <w:t xml:space="preserve">and further resources </w:t>
      </w:r>
      <w:r w:rsidR="009C70D5">
        <w:t xml:space="preserve">are provided </w:t>
      </w:r>
      <w:r w:rsidR="009E6E07">
        <w:t>on page 2</w:t>
      </w:r>
      <w:r w:rsidR="00D31BED">
        <w:t xml:space="preserve"> along with additional resources</w:t>
      </w:r>
      <w:r w:rsidR="009E6E07">
        <w:t>.</w:t>
      </w:r>
    </w:p>
    <w:tbl>
      <w:tblPr>
        <w:tblStyle w:val="TableGrid"/>
        <w:tblW w:w="9482" w:type="dxa"/>
        <w:tblLayout w:type="fixed"/>
        <w:tblLook w:val="06A0" w:firstRow="1" w:lastRow="0" w:firstColumn="1" w:lastColumn="0" w:noHBand="1" w:noVBand="1"/>
      </w:tblPr>
      <w:tblGrid>
        <w:gridCol w:w="6495"/>
        <w:gridCol w:w="1451"/>
        <w:gridCol w:w="1536"/>
      </w:tblGrid>
      <w:tr w:rsidR="10A18AC3" w:rsidTr="04D524BC" w14:paraId="53D2B227" w14:textId="77777777">
        <w:trPr>
          <w:trHeight w:val="300"/>
          <w:tblHeader/>
        </w:trPr>
        <w:tc>
          <w:tcPr>
            <w:tcW w:w="6495" w:type="dxa"/>
            <w:tcMar/>
          </w:tcPr>
          <w:p w:rsidR="10A18AC3" w:rsidP="2107A405" w:rsidRDefault="2C6CF98B" w14:paraId="6043AE19" w14:textId="3C5D3662">
            <w:pPr>
              <w:rPr>
                <w:b/>
                <w:bCs/>
              </w:rPr>
            </w:pPr>
            <w:r w:rsidRPr="2107A405">
              <w:rPr>
                <w:b/>
                <w:bCs/>
              </w:rPr>
              <w:t>Accessibility Criteria</w:t>
            </w:r>
          </w:p>
        </w:tc>
        <w:tc>
          <w:tcPr>
            <w:tcW w:w="1451" w:type="dxa"/>
            <w:tcMar/>
          </w:tcPr>
          <w:p w:rsidR="5B94FC8D" w:rsidP="00934BDE" w:rsidRDefault="5B94FC8D" w14:paraId="6E32C92D" w14:textId="0F8329CC">
            <w:pPr>
              <w:jc w:val="center"/>
              <w:rPr>
                <w:b/>
                <w:bCs/>
              </w:rPr>
            </w:pPr>
            <w:r w:rsidRPr="2107A405">
              <w:rPr>
                <w:b/>
                <w:bCs/>
              </w:rPr>
              <w:t>MS Teams</w:t>
            </w:r>
          </w:p>
        </w:tc>
        <w:tc>
          <w:tcPr>
            <w:tcW w:w="1536" w:type="dxa"/>
            <w:tcMar/>
          </w:tcPr>
          <w:p w:rsidR="5B94FC8D" w:rsidP="00934BDE" w:rsidRDefault="5B94FC8D" w14:paraId="60EEFBC4" w14:textId="0215CFFD">
            <w:pPr>
              <w:jc w:val="center"/>
              <w:rPr>
                <w:b/>
                <w:bCs/>
              </w:rPr>
            </w:pPr>
            <w:r w:rsidRPr="2107A405">
              <w:rPr>
                <w:b/>
                <w:bCs/>
              </w:rPr>
              <w:t>Zoom</w:t>
            </w:r>
          </w:p>
        </w:tc>
      </w:tr>
      <w:tr w:rsidR="2107A405" w:rsidTr="04D524BC" w14:paraId="119BC0EC" w14:textId="77777777">
        <w:trPr>
          <w:trHeight w:val="300"/>
        </w:trPr>
        <w:tc>
          <w:tcPr>
            <w:tcW w:w="6495" w:type="dxa"/>
            <w:tcMar/>
          </w:tcPr>
          <w:p w:rsidR="2107A405" w:rsidP="2107A405" w:rsidRDefault="2107A405" w14:paraId="51743076" w14:textId="7DEB32FF">
            <w:r w:rsidRPr="04D524BC" w:rsidR="2107A405">
              <w:rPr>
                <w:rFonts w:ascii="Aptos" w:hAnsi="Aptos" w:eastAsia="Aptos" w:cs="Aptos"/>
              </w:rPr>
              <w:t>Allows live even</w:t>
            </w:r>
            <w:r w:rsidRPr="04D524BC" w:rsidR="2107A405">
              <w:rPr>
                <w:rFonts w:ascii="Aptos" w:hAnsi="Aptos" w:eastAsia="Aptos" w:cs="Aptos"/>
              </w:rPr>
              <w:t>t</w:t>
            </w:r>
            <w:r w:rsidRPr="04D524BC" w:rsidR="38A55C00">
              <w:rPr>
                <w:rFonts w:ascii="Aptos" w:hAnsi="Aptos" w:eastAsia="Aptos" w:cs="Aptos"/>
              </w:rPr>
              <w:t>s</w:t>
            </w:r>
            <w:r w:rsidRPr="04D524BC" w:rsidR="2107A405">
              <w:rPr>
                <w:rFonts w:ascii="Aptos" w:hAnsi="Aptos" w:eastAsia="Aptos" w:cs="Aptos"/>
              </w:rPr>
              <w:t xml:space="preserve"> to be </w:t>
            </w:r>
            <w:r w:rsidRPr="04D524BC" w:rsidR="2107A405">
              <w:rPr>
                <w:rFonts w:ascii="Aptos" w:hAnsi="Aptos" w:eastAsia="Aptos" w:cs="Aptos"/>
                <w:b w:val="1"/>
                <w:bCs w:val="1"/>
              </w:rPr>
              <w:t xml:space="preserve">recorded </w:t>
            </w:r>
            <w:r w:rsidRPr="04D524BC" w:rsidR="2107A405">
              <w:rPr>
                <w:rFonts w:ascii="Aptos" w:hAnsi="Aptos" w:eastAsia="Aptos" w:cs="Aptos"/>
              </w:rPr>
              <w:t>and shared</w:t>
            </w:r>
          </w:p>
        </w:tc>
        <w:tc>
          <w:tcPr>
            <w:tcW w:w="1451" w:type="dxa"/>
            <w:tcMar/>
          </w:tcPr>
          <w:p w:rsidR="2107A405" w:rsidP="00934BDE" w:rsidRDefault="003E3F58" w14:paraId="551239BE" w14:textId="074A94EE">
            <w:pPr>
              <w:spacing w:line="279" w:lineRule="auto"/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2107A405" w:rsidP="00934BDE" w:rsidRDefault="003E3F58" w14:paraId="4958864F" w14:textId="5ED54C2C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0F71B8CD" w14:textId="77777777">
        <w:trPr>
          <w:trHeight w:val="300"/>
        </w:trPr>
        <w:tc>
          <w:tcPr>
            <w:tcW w:w="6495" w:type="dxa"/>
            <w:tcMar/>
          </w:tcPr>
          <w:p w:rsidR="5B94FC8D" w:rsidP="10A18AC3" w:rsidRDefault="69060716" w14:paraId="63918BC1" w14:textId="68582D03">
            <w:pPr>
              <w:rPr>
                <w:rFonts w:ascii="Aptos" w:hAnsi="Aptos" w:eastAsia="Aptos" w:cs="Aptos"/>
              </w:rPr>
            </w:pPr>
            <w:r w:rsidRPr="2107A405">
              <w:rPr>
                <w:rFonts w:ascii="Aptos" w:hAnsi="Aptos" w:eastAsia="Aptos" w:cs="Aptos"/>
                <w:b/>
                <w:bCs/>
              </w:rPr>
              <w:t>Live closed captions</w:t>
            </w:r>
            <w:r w:rsidRPr="2107A405" w:rsidR="07991255">
              <w:rPr>
                <w:rFonts w:ascii="Aptos" w:hAnsi="Aptos" w:eastAsia="Aptos" w:cs="Aptos"/>
                <w:b/>
                <w:bCs/>
              </w:rPr>
              <w:t xml:space="preserve"> (through AI)</w:t>
            </w:r>
            <w:r w:rsidRPr="2107A405">
              <w:rPr>
                <w:rFonts w:ascii="Aptos" w:hAnsi="Aptos" w:eastAsia="Aptos" w:cs="Aptos"/>
                <w:b/>
                <w:bCs/>
              </w:rPr>
              <w:t xml:space="preserve">: </w:t>
            </w:r>
            <w:r w:rsidRPr="2107A405" w:rsidR="5B94FC8D">
              <w:rPr>
                <w:rFonts w:ascii="Aptos" w:hAnsi="Aptos" w:eastAsia="Aptos" w:cs="Aptos"/>
              </w:rPr>
              <w:t xml:space="preserve">Users can turn on/off </w:t>
            </w:r>
            <w:r w:rsidRPr="2107A405" w:rsidR="031CE503">
              <w:rPr>
                <w:rFonts w:ascii="Aptos" w:hAnsi="Aptos" w:eastAsia="Aptos" w:cs="Aptos"/>
              </w:rPr>
              <w:t xml:space="preserve">live </w:t>
            </w:r>
            <w:r w:rsidRPr="2107A405" w:rsidR="5B94FC8D">
              <w:rPr>
                <w:rFonts w:ascii="Aptos" w:hAnsi="Aptos" w:eastAsia="Aptos" w:cs="Aptos"/>
              </w:rPr>
              <w:t xml:space="preserve">closed captions </w:t>
            </w:r>
          </w:p>
        </w:tc>
        <w:tc>
          <w:tcPr>
            <w:tcW w:w="1451" w:type="dxa"/>
            <w:tcMar/>
          </w:tcPr>
          <w:p w:rsidR="6BDBD520" w:rsidP="00934BDE" w:rsidRDefault="003E3F58" w14:paraId="64E757F9" w14:textId="21D8C588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6BDBD520" w:rsidP="00934BDE" w:rsidRDefault="003E3F58" w14:paraId="6275A4EA" w14:textId="7B14F597">
            <w:pPr>
              <w:jc w:val="center"/>
              <w:rPr>
                <w:rFonts w:ascii="Segoe UI Emoji" w:hAnsi="Segoe UI Emoji" w:eastAsia="Segoe UI Emoji" w:cs="Segoe UI Emoji"/>
              </w:rPr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2107A405" w:rsidTr="04D524BC" w14:paraId="12650CD4" w14:textId="77777777">
        <w:trPr>
          <w:trHeight w:val="300"/>
        </w:trPr>
        <w:tc>
          <w:tcPr>
            <w:tcW w:w="6495" w:type="dxa"/>
            <w:tcMar/>
          </w:tcPr>
          <w:p w:rsidR="2107A405" w:rsidP="2107A405" w:rsidRDefault="2107A405" w14:paraId="2B182EA9" w14:textId="7B373C7B">
            <w:pPr>
              <w:rPr>
                <w:rFonts w:ascii="Aptos" w:hAnsi="Aptos" w:eastAsia="Aptos" w:cs="Aptos"/>
              </w:rPr>
            </w:pPr>
            <w:r w:rsidRPr="2107A405">
              <w:rPr>
                <w:rFonts w:ascii="Aptos" w:hAnsi="Aptos" w:eastAsia="Aptos" w:cs="Aptos"/>
              </w:rPr>
              <w:t xml:space="preserve">Option to assign </w:t>
            </w:r>
            <w:r w:rsidRPr="2107A405">
              <w:rPr>
                <w:rFonts w:ascii="Aptos" w:hAnsi="Aptos" w:eastAsia="Aptos" w:cs="Aptos"/>
                <w:b/>
                <w:bCs/>
              </w:rPr>
              <w:t>live closed-captioner</w:t>
            </w:r>
          </w:p>
        </w:tc>
        <w:tc>
          <w:tcPr>
            <w:tcW w:w="1451" w:type="dxa"/>
            <w:tcMar/>
          </w:tcPr>
          <w:p w:rsidR="5F3EDD1E" w:rsidP="00934BDE" w:rsidRDefault="003E3F58" w14:paraId="7A9E3C1C" w14:textId="770DDDED">
            <w:pPr>
              <w:jc w:val="center"/>
            </w:pPr>
            <w:r>
              <w:t>X</w:t>
            </w:r>
          </w:p>
        </w:tc>
        <w:tc>
          <w:tcPr>
            <w:tcW w:w="1536" w:type="dxa"/>
            <w:tcMar/>
          </w:tcPr>
          <w:p w:rsidR="2107A405" w:rsidP="00934BDE" w:rsidRDefault="003E3F58" w14:paraId="74AB5FAC" w14:textId="2858A9E8">
            <w:pPr>
              <w:spacing w:line="279" w:lineRule="auto"/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2552BB61" w14:textId="77777777">
        <w:trPr>
          <w:trHeight w:val="300"/>
        </w:trPr>
        <w:tc>
          <w:tcPr>
            <w:tcW w:w="6495" w:type="dxa"/>
            <w:tcMar/>
          </w:tcPr>
          <w:p w:rsidR="5B94FC8D" w:rsidP="2107A405" w:rsidRDefault="79F3F770" w14:paraId="4880B4EB" w14:textId="56195D11">
            <w:pPr>
              <w:spacing w:after="160" w:line="279" w:lineRule="auto"/>
              <w:rPr>
                <w:rFonts w:ascii="Aptos" w:hAnsi="Aptos" w:eastAsia="Aptos" w:cs="Aptos"/>
              </w:rPr>
            </w:pPr>
            <w:r w:rsidRPr="2107A405">
              <w:rPr>
                <w:rFonts w:ascii="Aptos" w:hAnsi="Aptos" w:eastAsia="Aptos" w:cs="Aptos"/>
                <w:b/>
                <w:bCs/>
              </w:rPr>
              <w:t>C</w:t>
            </w:r>
            <w:r w:rsidRPr="2107A405" w:rsidR="5B94FC8D">
              <w:rPr>
                <w:rFonts w:ascii="Aptos" w:hAnsi="Aptos" w:eastAsia="Aptos" w:cs="Aptos"/>
                <w:b/>
                <w:bCs/>
              </w:rPr>
              <w:t>losed captioning window</w:t>
            </w:r>
            <w:r w:rsidRPr="2107A405" w:rsidR="23CC1E9A">
              <w:rPr>
                <w:rFonts w:ascii="Aptos" w:hAnsi="Aptos" w:eastAsia="Aptos" w:cs="Aptos"/>
                <w:b/>
                <w:bCs/>
              </w:rPr>
              <w:t>:</w:t>
            </w:r>
            <w:r w:rsidRPr="2107A405" w:rsidR="5B94FC8D">
              <w:rPr>
                <w:rFonts w:ascii="Aptos" w:hAnsi="Aptos" w:eastAsia="Aptos" w:cs="Aptos"/>
              </w:rPr>
              <w:t xml:space="preserve"> can be enabled</w:t>
            </w:r>
            <w:r w:rsidRPr="2107A405" w:rsidR="66FD5E1B">
              <w:rPr>
                <w:rFonts w:ascii="Aptos" w:hAnsi="Aptos" w:eastAsia="Aptos" w:cs="Aptos"/>
              </w:rPr>
              <w:t xml:space="preserve">. </w:t>
            </w:r>
            <w:r w:rsidR="2B55B6D2">
              <w:t>In Zoom, the ASL window is a pop-out window (not embedded within the main Zoom screen).  This allows you to move the ASL window to a position that works best for you (e.g., not blocking text on slide).</w:t>
            </w:r>
            <w:r w:rsidRPr="2107A405" w:rsidR="2B55B6D2">
              <w:rPr>
                <w:rFonts w:ascii="Aptos" w:hAnsi="Aptos" w:eastAsia="Aptos" w:cs="Aptos"/>
              </w:rPr>
              <w:t xml:space="preserve"> </w:t>
            </w:r>
          </w:p>
        </w:tc>
        <w:tc>
          <w:tcPr>
            <w:tcW w:w="1451" w:type="dxa"/>
            <w:tcMar/>
          </w:tcPr>
          <w:p w:rsidR="10A18AC3" w:rsidP="00934BDE" w:rsidRDefault="003E3F58" w14:paraId="21009EA8" w14:textId="4633ED8D">
            <w:pPr>
              <w:jc w:val="center"/>
            </w:pPr>
            <w:r>
              <w:t>X</w:t>
            </w:r>
          </w:p>
        </w:tc>
        <w:tc>
          <w:tcPr>
            <w:tcW w:w="1536" w:type="dxa"/>
            <w:tcMar/>
          </w:tcPr>
          <w:p w:rsidR="09837B67" w:rsidP="00934BDE" w:rsidRDefault="003E3F58" w14:paraId="1D4B5756" w14:textId="410389AF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4899CB48" w14:textId="77777777">
        <w:trPr>
          <w:trHeight w:val="300"/>
        </w:trPr>
        <w:tc>
          <w:tcPr>
            <w:tcW w:w="6495" w:type="dxa"/>
            <w:tcMar/>
          </w:tcPr>
          <w:p w:rsidR="797B3AB1" w:rsidP="10A18AC3" w:rsidRDefault="1C734586" w14:paraId="11917D3A" w14:textId="2D2F8BF6">
            <w:pPr>
              <w:rPr>
                <w:rFonts w:ascii="Aptos" w:hAnsi="Aptos" w:eastAsia="Aptos" w:cs="Aptos"/>
              </w:rPr>
            </w:pPr>
            <w:r w:rsidRPr="2107A405">
              <w:rPr>
                <w:rFonts w:ascii="Aptos" w:hAnsi="Aptos" w:eastAsia="Aptos" w:cs="Aptos"/>
                <w:b/>
                <w:bCs/>
              </w:rPr>
              <w:t>Transcription</w:t>
            </w:r>
            <w:r w:rsidRPr="2107A405">
              <w:rPr>
                <w:rFonts w:ascii="Aptos" w:hAnsi="Aptos" w:eastAsia="Aptos" w:cs="Aptos"/>
              </w:rPr>
              <w:t xml:space="preserve"> can be d</w:t>
            </w:r>
            <w:r w:rsidRPr="2107A405" w:rsidR="641F407D">
              <w:rPr>
                <w:rFonts w:ascii="Aptos" w:hAnsi="Aptos" w:eastAsia="Aptos" w:cs="Aptos"/>
              </w:rPr>
              <w:t>ownload</w:t>
            </w:r>
            <w:r w:rsidRPr="2107A405" w:rsidR="2F1BFECA">
              <w:rPr>
                <w:rFonts w:ascii="Aptos" w:hAnsi="Aptos" w:eastAsia="Aptos" w:cs="Aptos"/>
              </w:rPr>
              <w:t>ed</w:t>
            </w:r>
            <w:r w:rsidRPr="2107A405" w:rsidR="641F407D">
              <w:rPr>
                <w:rFonts w:ascii="Aptos" w:hAnsi="Aptos" w:eastAsia="Aptos" w:cs="Aptos"/>
              </w:rPr>
              <w:t xml:space="preserve"> </w:t>
            </w:r>
          </w:p>
        </w:tc>
        <w:tc>
          <w:tcPr>
            <w:tcW w:w="1451" w:type="dxa"/>
            <w:tcMar/>
          </w:tcPr>
          <w:p w:rsidR="10A18AC3" w:rsidP="00934BDE" w:rsidRDefault="003E3F58" w14:paraId="74C30E31" w14:textId="4839A910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797B3AB1" w:rsidP="00934BDE" w:rsidRDefault="003E3F58" w14:paraId="62E7D121" w14:textId="129E3AA0">
            <w:pPr>
              <w:spacing w:line="279" w:lineRule="auto"/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2107A405" w:rsidTr="04D524BC" w14:paraId="075F0D05" w14:textId="77777777">
        <w:trPr>
          <w:trHeight w:val="300"/>
        </w:trPr>
        <w:tc>
          <w:tcPr>
            <w:tcW w:w="6495" w:type="dxa"/>
            <w:tcMar/>
          </w:tcPr>
          <w:p w:rsidR="2107A405" w:rsidP="2107A405" w:rsidRDefault="2107A405" w14:paraId="791462BD" w14:textId="52BC3E8E">
            <w:r>
              <w:t xml:space="preserve">Comments typed in the </w:t>
            </w:r>
            <w:r w:rsidRPr="2107A405">
              <w:rPr>
                <w:b/>
                <w:bCs/>
              </w:rPr>
              <w:t>chat can be downloaded</w:t>
            </w:r>
          </w:p>
        </w:tc>
        <w:tc>
          <w:tcPr>
            <w:tcW w:w="1451" w:type="dxa"/>
            <w:tcMar/>
          </w:tcPr>
          <w:p w:rsidR="463D55F5" w:rsidP="00934BDE" w:rsidRDefault="00934BDE" w14:paraId="1622B5DF" w14:textId="58F6B0E1">
            <w:pPr>
              <w:jc w:val="center"/>
            </w:pPr>
            <w:r>
              <w:t>X</w:t>
            </w:r>
          </w:p>
        </w:tc>
        <w:tc>
          <w:tcPr>
            <w:tcW w:w="1536" w:type="dxa"/>
            <w:tcMar/>
          </w:tcPr>
          <w:p w:rsidR="2107A405" w:rsidP="00934BDE" w:rsidRDefault="003E3F58" w14:paraId="4D3F70B5" w14:textId="1FC1D6A5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728C6A91" w14:textId="77777777">
        <w:trPr>
          <w:trHeight w:val="300"/>
        </w:trPr>
        <w:tc>
          <w:tcPr>
            <w:tcW w:w="6495" w:type="dxa"/>
            <w:tcMar/>
          </w:tcPr>
          <w:p w:rsidR="5B94FC8D" w:rsidP="10A18AC3" w:rsidRDefault="5B94FC8D" w14:paraId="69CC3AF5" w14:textId="15B95AC7">
            <w:r w:rsidRPr="2107A405">
              <w:rPr>
                <w:rFonts w:ascii="Aptos" w:hAnsi="Aptos" w:eastAsia="Aptos" w:cs="Aptos"/>
              </w:rPr>
              <w:t xml:space="preserve">Allows participants to attend via a </w:t>
            </w:r>
            <w:r w:rsidRPr="2107A405">
              <w:rPr>
                <w:rFonts w:ascii="Aptos" w:hAnsi="Aptos" w:eastAsia="Aptos" w:cs="Aptos"/>
                <w:b/>
                <w:bCs/>
              </w:rPr>
              <w:t>dial-in phone</w:t>
            </w:r>
          </w:p>
        </w:tc>
        <w:tc>
          <w:tcPr>
            <w:tcW w:w="1451" w:type="dxa"/>
            <w:tcMar/>
          </w:tcPr>
          <w:p w:rsidR="43EAEA67" w:rsidP="00934BDE" w:rsidRDefault="003E3F58" w14:paraId="3FB6A957" w14:textId="74F9B0DA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43EAEA67" w:rsidP="00934BDE" w:rsidRDefault="003E3F58" w14:paraId="58D0281A" w14:textId="3A65D5CB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61B3E6A8" w14:textId="77777777">
        <w:trPr>
          <w:trHeight w:val="300"/>
        </w:trPr>
        <w:tc>
          <w:tcPr>
            <w:tcW w:w="6495" w:type="dxa"/>
            <w:tcMar/>
          </w:tcPr>
          <w:p w:rsidR="5B94FC8D" w:rsidP="2107A405" w:rsidRDefault="5B94FC8D" w14:paraId="44FC89A1" w14:textId="41BA3CE7">
            <w:pPr>
              <w:rPr>
                <w:rFonts w:ascii="Aptos" w:hAnsi="Aptos" w:eastAsia="Aptos" w:cs="Aptos"/>
              </w:rPr>
            </w:pPr>
            <w:r w:rsidRPr="2107A405">
              <w:rPr>
                <w:rFonts w:ascii="Aptos" w:hAnsi="Aptos" w:eastAsia="Aptos" w:cs="Aptos"/>
              </w:rPr>
              <w:t xml:space="preserve">Enables participants who are experiencing difficulties during the event to </w:t>
            </w:r>
            <w:r w:rsidRPr="2107A405">
              <w:rPr>
                <w:rFonts w:ascii="Aptos" w:hAnsi="Aptos" w:eastAsia="Aptos" w:cs="Aptos"/>
                <w:b/>
                <w:bCs/>
              </w:rPr>
              <w:t>contact organizer</w:t>
            </w:r>
            <w:r w:rsidRPr="2107A405" w:rsidR="1429641A">
              <w:rPr>
                <w:rFonts w:ascii="Aptos" w:hAnsi="Aptos" w:eastAsia="Aptos" w:cs="Aptos"/>
                <w:b/>
                <w:bCs/>
              </w:rPr>
              <w:t xml:space="preserve"> through direct message</w:t>
            </w:r>
          </w:p>
        </w:tc>
        <w:tc>
          <w:tcPr>
            <w:tcW w:w="1451" w:type="dxa"/>
            <w:tcMar/>
          </w:tcPr>
          <w:p w:rsidR="10A18AC3" w:rsidP="00934BDE" w:rsidRDefault="003E3F58" w14:paraId="5A135ECD" w14:textId="4094CF4A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10A18AC3" w:rsidP="00934BDE" w:rsidRDefault="003E3F58" w14:paraId="467BC59F" w14:textId="5893C292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71A41ED3" w14:textId="77777777">
        <w:trPr>
          <w:trHeight w:val="300"/>
        </w:trPr>
        <w:tc>
          <w:tcPr>
            <w:tcW w:w="6495" w:type="dxa"/>
            <w:tcMar/>
          </w:tcPr>
          <w:p w:rsidR="5B94FC8D" w:rsidP="10A18AC3" w:rsidRDefault="5B94FC8D" w14:paraId="4FFD8D24" w14:textId="0B2FE5C8">
            <w:r>
              <w:t xml:space="preserve">Users can </w:t>
            </w:r>
            <w:r w:rsidRPr="2107A405">
              <w:rPr>
                <w:b/>
                <w:bCs/>
              </w:rPr>
              <w:t xml:space="preserve">magnify </w:t>
            </w:r>
            <w:r>
              <w:t xml:space="preserve">the screen content </w:t>
            </w:r>
          </w:p>
        </w:tc>
        <w:tc>
          <w:tcPr>
            <w:tcW w:w="1451" w:type="dxa"/>
            <w:tcMar/>
          </w:tcPr>
          <w:p w:rsidR="170C9E86" w:rsidP="00934BDE" w:rsidRDefault="003E3F58" w14:paraId="2CD4AD71" w14:textId="00E27BE1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10A18AC3" w:rsidP="00934BDE" w:rsidRDefault="003E3F58" w14:paraId="72B3160B" w14:textId="7E7D2F38">
            <w:pPr>
              <w:jc w:val="center"/>
            </w:pPr>
            <w:r>
              <w:t>X</w:t>
            </w:r>
          </w:p>
        </w:tc>
      </w:tr>
      <w:tr w:rsidR="10A18AC3" w:rsidTr="04D524BC" w14:paraId="79F016CB" w14:textId="77777777">
        <w:trPr>
          <w:trHeight w:val="300"/>
        </w:trPr>
        <w:tc>
          <w:tcPr>
            <w:tcW w:w="6495" w:type="dxa"/>
            <w:tcMar/>
          </w:tcPr>
          <w:p w:rsidR="5B94FC8D" w:rsidP="10A18AC3" w:rsidRDefault="5B94FC8D" w14:paraId="37F6CA4E" w14:textId="71AC6883">
            <w:r>
              <w:t>Users can</w:t>
            </w:r>
            <w:r w:rsidRPr="2107A405">
              <w:rPr>
                <w:b/>
                <w:bCs/>
              </w:rPr>
              <w:t xml:space="preserve"> change the background </w:t>
            </w:r>
          </w:p>
        </w:tc>
        <w:tc>
          <w:tcPr>
            <w:tcW w:w="1451" w:type="dxa"/>
            <w:tcMar/>
          </w:tcPr>
          <w:p w:rsidR="72BE2184" w:rsidP="00934BDE" w:rsidRDefault="003E3F58" w14:paraId="4FE9E49E" w14:textId="080B7D76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10A18AC3" w:rsidP="00934BDE" w:rsidRDefault="003E3F58" w14:paraId="2194B1B3" w14:textId="68D0A93B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25704449" w14:textId="77777777">
        <w:trPr>
          <w:trHeight w:val="300"/>
        </w:trPr>
        <w:tc>
          <w:tcPr>
            <w:tcW w:w="6495" w:type="dxa"/>
            <w:tcMar/>
          </w:tcPr>
          <w:p w:rsidR="5B94FC8D" w:rsidP="10A18AC3" w:rsidRDefault="5B94FC8D" w14:paraId="4802A7EC" w14:textId="4018ACC6">
            <w:r>
              <w:t xml:space="preserve">Users can use </w:t>
            </w:r>
            <w:r w:rsidRPr="2107A405">
              <w:rPr>
                <w:b/>
                <w:bCs/>
              </w:rPr>
              <w:t>high contrast mode</w:t>
            </w:r>
          </w:p>
        </w:tc>
        <w:tc>
          <w:tcPr>
            <w:tcW w:w="1451" w:type="dxa"/>
            <w:tcMar/>
          </w:tcPr>
          <w:p w:rsidR="43ADF74B" w:rsidP="00934BDE" w:rsidRDefault="003E3F58" w14:paraId="29101808" w14:textId="0932973B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10A18AC3" w:rsidP="00934BDE" w:rsidRDefault="003E3F58" w14:paraId="2E7E8975" w14:textId="1A6AE682">
            <w:pPr>
              <w:jc w:val="center"/>
            </w:pPr>
            <w:r>
              <w:t>X</w:t>
            </w:r>
          </w:p>
        </w:tc>
      </w:tr>
      <w:tr w:rsidR="10A18AC3" w:rsidTr="04D524BC" w14:paraId="370E9EF2" w14:textId="77777777">
        <w:trPr>
          <w:trHeight w:val="300"/>
        </w:trPr>
        <w:tc>
          <w:tcPr>
            <w:tcW w:w="6495" w:type="dxa"/>
            <w:tcMar/>
          </w:tcPr>
          <w:p w:rsidR="1CDEFDB6" w:rsidP="10A18AC3" w:rsidRDefault="1CDEFDB6" w14:paraId="327418A2" w14:textId="6E8CDF3C">
            <w:r>
              <w:t xml:space="preserve">Includes </w:t>
            </w:r>
            <w:r w:rsidRPr="2107A405">
              <w:rPr>
                <w:b/>
                <w:bCs/>
              </w:rPr>
              <w:t>keyboard shortcuts</w:t>
            </w:r>
          </w:p>
        </w:tc>
        <w:tc>
          <w:tcPr>
            <w:tcW w:w="1451" w:type="dxa"/>
            <w:tcMar/>
          </w:tcPr>
          <w:p w:rsidR="10A18AC3" w:rsidP="00934BDE" w:rsidRDefault="003E3F58" w14:paraId="1646EA20" w14:textId="61E2F419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66DFB3A7" w:rsidP="00934BDE" w:rsidRDefault="003E3F58" w14:paraId="705B8FEA" w14:textId="03575550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76D9E0FE" w14:textId="77777777">
        <w:trPr>
          <w:trHeight w:val="300"/>
        </w:trPr>
        <w:tc>
          <w:tcPr>
            <w:tcW w:w="6495" w:type="dxa"/>
            <w:tcMar/>
          </w:tcPr>
          <w:p w:rsidR="1CDEFDB6" w:rsidP="2107A405" w:rsidRDefault="1CDEFDB6" w14:paraId="6FD2B3C7" w14:textId="0036EE7D">
            <w:pPr>
              <w:rPr>
                <w:b/>
                <w:bCs/>
              </w:rPr>
            </w:pPr>
            <w:r>
              <w:t xml:space="preserve">Compatible with </w:t>
            </w:r>
            <w:r w:rsidRPr="2107A405" w:rsidR="685BA91F">
              <w:rPr>
                <w:b/>
                <w:bCs/>
              </w:rPr>
              <w:t>screen readers</w:t>
            </w:r>
          </w:p>
        </w:tc>
        <w:tc>
          <w:tcPr>
            <w:tcW w:w="1451" w:type="dxa"/>
            <w:tcMar/>
          </w:tcPr>
          <w:p w:rsidR="10A18AC3" w:rsidP="00934BDE" w:rsidRDefault="003E3F58" w14:paraId="13B0C515" w14:textId="5C5C388F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4724CCB6" w:rsidP="00934BDE" w:rsidRDefault="003E3F58" w14:paraId="5A814F09" w14:textId="2144500A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2107A405" w:rsidTr="04D524BC" w14:paraId="7FE098F3" w14:textId="77777777">
        <w:trPr>
          <w:trHeight w:val="300"/>
        </w:trPr>
        <w:tc>
          <w:tcPr>
            <w:tcW w:w="6495" w:type="dxa"/>
            <w:tcMar/>
          </w:tcPr>
          <w:p w:rsidR="2107A405" w:rsidP="2107A405" w:rsidRDefault="2107A405" w14:paraId="34BA401F" w14:textId="1838B998">
            <w:r w:rsidRPr="2107A405">
              <w:rPr>
                <w:b/>
                <w:bCs/>
              </w:rPr>
              <w:t xml:space="preserve">Dark mode </w:t>
            </w:r>
            <w:r>
              <w:t>option</w:t>
            </w:r>
          </w:p>
        </w:tc>
        <w:tc>
          <w:tcPr>
            <w:tcW w:w="1451" w:type="dxa"/>
            <w:tcMar/>
          </w:tcPr>
          <w:p w:rsidR="56AD4BFB" w:rsidP="00934BDE" w:rsidRDefault="003E3F58" w14:paraId="617EE935" w14:textId="7280B0AB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2107A405" w:rsidP="00934BDE" w:rsidRDefault="003E3F58" w14:paraId="38593855" w14:textId="4C5E0E3A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10A18AC3" w:rsidTr="04D524BC" w14:paraId="2DF67CAE" w14:textId="77777777">
        <w:trPr>
          <w:trHeight w:val="300"/>
        </w:trPr>
        <w:tc>
          <w:tcPr>
            <w:tcW w:w="6495" w:type="dxa"/>
            <w:tcMar/>
          </w:tcPr>
          <w:p w:rsidR="1CDEFDB6" w:rsidP="10A18AC3" w:rsidRDefault="58624DB2" w14:paraId="02B844D1" w14:textId="3D366E5B">
            <w:r w:rsidRPr="2107A405">
              <w:rPr>
                <w:b/>
                <w:bCs/>
              </w:rPr>
              <w:t>Focus</w:t>
            </w:r>
            <w:r w:rsidR="1CDEFDB6">
              <w:t xml:space="preserve"> mode</w:t>
            </w:r>
            <w:r w:rsidR="49C307A4">
              <w:t xml:space="preserve"> </w:t>
            </w:r>
            <w:r w:rsidR="521CD51B">
              <w:t>(</w:t>
            </w:r>
            <w:r w:rsidR="47AE1BB8">
              <w:t xml:space="preserve">i.e., </w:t>
            </w:r>
            <w:r w:rsidR="1F3CAEA4">
              <w:t>h</w:t>
            </w:r>
            <w:r w:rsidR="521CD51B">
              <w:t xml:space="preserve">ost and co-hosts </w:t>
            </w:r>
            <w:r w:rsidR="5CB9CDAC">
              <w:t xml:space="preserve">can </w:t>
            </w:r>
            <w:r w:rsidR="521CD51B">
              <w:t>view all participants’ videos without other participants seeing each other)</w:t>
            </w:r>
          </w:p>
        </w:tc>
        <w:tc>
          <w:tcPr>
            <w:tcW w:w="1451" w:type="dxa"/>
            <w:tcMar/>
          </w:tcPr>
          <w:p w:rsidR="10A18AC3" w:rsidP="00934BDE" w:rsidRDefault="003E3F58" w14:paraId="2FBC5342" w14:textId="6AA26B81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4724CCB6" w:rsidP="00934BDE" w:rsidRDefault="003E3F58" w14:paraId="6BC2E3F9" w14:textId="7C438119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2107A405" w:rsidTr="04D524BC" w14:paraId="5FB2F6F0" w14:textId="77777777">
        <w:trPr>
          <w:trHeight w:val="300"/>
        </w:trPr>
        <w:tc>
          <w:tcPr>
            <w:tcW w:w="6495" w:type="dxa"/>
            <w:tcMar/>
          </w:tcPr>
          <w:p w:rsidR="283090E9" w:rsidP="2107A405" w:rsidRDefault="283090E9" w14:paraId="1F03FA87" w14:textId="67E946B5">
            <w:r w:rsidRPr="2107A405">
              <w:rPr>
                <w:b/>
                <w:bCs/>
              </w:rPr>
              <w:t xml:space="preserve">Spotlight </w:t>
            </w:r>
            <w:r>
              <w:t>feature</w:t>
            </w:r>
            <w:r w:rsidR="1A62C977">
              <w:t xml:space="preserve"> (</w:t>
            </w:r>
            <w:r w:rsidR="597FD08E">
              <w:t xml:space="preserve">i.e., </w:t>
            </w:r>
            <w:r w:rsidR="307B54B2">
              <w:t>puts a user as the primary active speaker for all participants in the meeting and recordings)</w:t>
            </w:r>
          </w:p>
        </w:tc>
        <w:tc>
          <w:tcPr>
            <w:tcW w:w="1451" w:type="dxa"/>
            <w:tcMar/>
          </w:tcPr>
          <w:p w:rsidR="6B11DEBC" w:rsidP="00934BDE" w:rsidRDefault="003E3F58" w14:paraId="26915093" w14:textId="36B846F7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283090E9" w:rsidP="00934BDE" w:rsidRDefault="003E3F58" w14:paraId="50CDA44B" w14:textId="128DD0A7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2107A405" w:rsidTr="04D524BC" w14:paraId="1E9408B2" w14:textId="77777777">
        <w:trPr>
          <w:trHeight w:val="300"/>
        </w:trPr>
        <w:tc>
          <w:tcPr>
            <w:tcW w:w="6495" w:type="dxa"/>
            <w:tcMar/>
          </w:tcPr>
          <w:p w:rsidR="283090E9" w:rsidP="2107A405" w:rsidRDefault="283090E9" w14:paraId="2AB9BA2B" w14:textId="67B6C8BB">
            <w:r w:rsidRPr="2107A405">
              <w:rPr>
                <w:b/>
                <w:bCs/>
              </w:rPr>
              <w:t xml:space="preserve">Pin </w:t>
            </w:r>
            <w:r>
              <w:t xml:space="preserve">feature (i.e., </w:t>
            </w:r>
            <w:r w:rsidR="48F310E2">
              <w:t xml:space="preserve">individual users can </w:t>
            </w:r>
            <w:r>
              <w:t>pin a specific video or screenshare</w:t>
            </w:r>
            <w:r w:rsidR="7D99B8A2">
              <w:t xml:space="preserve"> for themselves only</w:t>
            </w:r>
            <w:r>
              <w:t>)</w:t>
            </w:r>
          </w:p>
        </w:tc>
        <w:tc>
          <w:tcPr>
            <w:tcW w:w="1451" w:type="dxa"/>
            <w:tcMar/>
          </w:tcPr>
          <w:p w:rsidR="52AE49CE" w:rsidP="00934BDE" w:rsidRDefault="003E3F58" w14:paraId="234AD32B" w14:textId="1E627D9C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52AE49CE" w:rsidP="00934BDE" w:rsidRDefault="003E3F58" w14:paraId="2B0A7357" w14:textId="05765D2D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  <w:tr w:rsidR="2107A405" w:rsidTr="04D524BC" w14:paraId="7DF03846" w14:textId="77777777">
        <w:trPr>
          <w:trHeight w:val="300"/>
        </w:trPr>
        <w:tc>
          <w:tcPr>
            <w:tcW w:w="6495" w:type="dxa"/>
            <w:tcMar/>
          </w:tcPr>
          <w:p w:rsidR="2107A405" w:rsidP="2107A405" w:rsidRDefault="2107A405" w14:paraId="4FA96A57" w14:textId="58BE8DB5">
            <w:pPr>
              <w:rPr>
                <w:rFonts w:ascii="Aptos" w:hAnsi="Aptos" w:eastAsia="Aptos" w:cs="Aptos"/>
                <w:color w:val="000000" w:themeColor="text1"/>
              </w:rPr>
            </w:pPr>
            <w:r w:rsidRPr="2107A405">
              <w:rPr>
                <w:rFonts w:ascii="Aptos" w:hAnsi="Aptos" w:eastAsia="Aptos" w:cs="Aptos"/>
                <w:b/>
                <w:bCs/>
                <w:color w:val="000000" w:themeColor="text1"/>
              </w:rPr>
              <w:t>Green room</w:t>
            </w:r>
            <w:r w:rsidRPr="2107A405">
              <w:rPr>
                <w:rFonts w:ascii="Aptos" w:hAnsi="Aptos" w:eastAsia="Aptos" w:cs="Aptos"/>
                <w:color w:val="000000" w:themeColor="text1"/>
              </w:rPr>
              <w:t>: For MS Teams webinars to townhalls and Zoom webinars or events (i.e., not meetings): Participants can test the virtual event space prior to a webinar or event (i.e., green room)</w:t>
            </w:r>
          </w:p>
        </w:tc>
        <w:tc>
          <w:tcPr>
            <w:tcW w:w="1451" w:type="dxa"/>
            <w:tcMar/>
          </w:tcPr>
          <w:p w:rsidR="2107A405" w:rsidP="00934BDE" w:rsidRDefault="003E3F58" w14:paraId="32DA072D" w14:textId="2BC4F2CC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  <w:tc>
          <w:tcPr>
            <w:tcW w:w="1536" w:type="dxa"/>
            <w:tcMar/>
          </w:tcPr>
          <w:p w:rsidR="2107A405" w:rsidP="00934BDE" w:rsidRDefault="003E3F58" w14:paraId="431B0CDF" w14:textId="65C5495D">
            <w:pPr>
              <w:jc w:val="center"/>
            </w:pPr>
            <w:r>
              <w:rPr>
                <w:rFonts w:ascii="Wingdings 2" w:hAnsi="Wingdings 2" w:eastAsia="Wingdings 2" w:cs="Wingdings 2"/>
              </w:rPr>
              <w:t>P</w:t>
            </w:r>
          </w:p>
        </w:tc>
      </w:tr>
    </w:tbl>
    <w:p w:rsidR="2107A405" w:rsidRDefault="2107A405" w14:paraId="2AE754DF" w14:textId="0CFAE819"/>
    <w:p w:rsidR="003E3F58" w:rsidP="003E3F58" w:rsidRDefault="003E3F58" w14:paraId="3184F472" w14:textId="58DD7CFC">
      <w:pPr>
        <w:pStyle w:val="Heading2"/>
      </w:pPr>
      <w:r>
        <w:t>Definitions</w:t>
      </w:r>
    </w:p>
    <w:p w:rsidR="003E3F58" w:rsidP="003E3F58" w:rsidRDefault="003E3F58" w14:paraId="0B4ABBBC" w14:textId="5608FAA8">
      <w:r w:rsidRPr="2107A405">
        <w:rPr>
          <w:b/>
          <w:bCs/>
        </w:rPr>
        <w:t>Meeting</w:t>
      </w:r>
      <w:r>
        <w:t xml:space="preserve"> (</w:t>
      </w:r>
      <w:hyperlink r:id="rId5">
        <w:r w:rsidRPr="2107A405">
          <w:rPr>
            <w:rStyle w:val="Hyperlink"/>
          </w:rPr>
          <w:t>MS Teams</w:t>
        </w:r>
      </w:hyperlink>
      <w:r>
        <w:t xml:space="preserve"> and </w:t>
      </w:r>
      <w:hyperlink r:id="rId6">
        <w:r w:rsidRPr="2107A405">
          <w:rPr>
            <w:rStyle w:val="Hyperlink"/>
          </w:rPr>
          <w:t>Zoom</w:t>
        </w:r>
      </w:hyperlink>
      <w:r>
        <w:t>): a communications platform that allows users to collaboratively connect with video, audio, phone, and chat</w:t>
      </w:r>
    </w:p>
    <w:p w:rsidR="003E3F58" w:rsidP="003E3F58" w:rsidRDefault="003E3F58" w14:paraId="4D10DE95" w14:textId="77777777">
      <w:r w:rsidRPr="2107A405">
        <w:rPr>
          <w:b/>
          <w:bCs/>
        </w:rPr>
        <w:t>Webinar</w:t>
      </w:r>
      <w:r>
        <w:t xml:space="preserve"> (</w:t>
      </w:r>
      <w:hyperlink r:id="rId7">
        <w:r w:rsidRPr="2107A405">
          <w:rPr>
            <w:rStyle w:val="Hyperlink"/>
          </w:rPr>
          <w:t>MS Teams</w:t>
        </w:r>
      </w:hyperlink>
      <w:r>
        <w:t xml:space="preserve"> and </w:t>
      </w:r>
      <w:hyperlink r:id="rId8">
        <w:r w:rsidRPr="2107A405">
          <w:rPr>
            <w:rStyle w:val="Hyperlink"/>
          </w:rPr>
          <w:t>Zoom</w:t>
        </w:r>
      </w:hyperlink>
      <w:r>
        <w:t>): designed so that the host and any designated panelists can share their video, audio and screen. The host can unmute specific attendees.</w:t>
      </w:r>
    </w:p>
    <w:p w:rsidR="003E3F58" w:rsidP="003E3F58" w:rsidRDefault="003E3F58" w14:paraId="1B37D851" w14:textId="77777777">
      <w:r w:rsidRPr="2107A405">
        <w:rPr>
          <w:b/>
          <w:bCs/>
        </w:rPr>
        <w:t>Townhall</w:t>
      </w:r>
      <w:r>
        <w:t xml:space="preserve"> (</w:t>
      </w:r>
      <w:hyperlink r:id="rId9">
        <w:r w:rsidRPr="2107A405">
          <w:rPr>
            <w:rStyle w:val="Hyperlink"/>
          </w:rPr>
          <w:t>MS Teams</w:t>
        </w:r>
      </w:hyperlink>
      <w:r>
        <w:t xml:space="preserve">): an extension of Teams meetings, enabling users to broadcast video and meeting content to a large online audience. Townhall are meant for one-to-many communications where the host of the event is leading the interactions and audience participation is primarily to view the content shared by host. </w:t>
      </w:r>
    </w:p>
    <w:p w:rsidR="003E3F58" w:rsidP="003E3F58" w:rsidRDefault="003E3F58" w14:paraId="48725B44" w14:textId="77777777">
      <w:r w:rsidRPr="2107A405">
        <w:rPr>
          <w:b/>
          <w:bCs/>
        </w:rPr>
        <w:t xml:space="preserve">Event </w:t>
      </w:r>
      <w:r>
        <w:t>(</w:t>
      </w:r>
      <w:hyperlink r:id="rId10">
        <w:r w:rsidRPr="2107A405">
          <w:rPr>
            <w:rStyle w:val="Hyperlink"/>
          </w:rPr>
          <w:t>Zoom</w:t>
        </w:r>
      </w:hyperlink>
      <w:r>
        <w:t>): a virtual experience platform that allows hosts to create virtual and hybrid conference platforms with links to multiple concurrent sessions (meeting or webinar) and general conference chat outside of specific meetings</w:t>
      </w:r>
    </w:p>
    <w:p w:rsidR="003E3F58" w:rsidP="2107A405" w:rsidRDefault="003E3F58" w14:paraId="410C2DED" w14:textId="77777777">
      <w:pPr>
        <w:pStyle w:val="Heading2"/>
      </w:pPr>
    </w:p>
    <w:p w:rsidR="73A36FDF" w:rsidP="2107A405" w:rsidRDefault="73A36FDF" w14:paraId="0266C0F0" w14:textId="15A0488E">
      <w:pPr>
        <w:pStyle w:val="Heading2"/>
      </w:pPr>
      <w:r>
        <w:t>Resources:</w:t>
      </w:r>
    </w:p>
    <w:p w:rsidR="13EAA9B0" w:rsidP="2107A405" w:rsidRDefault="13EAA9B0" w14:paraId="3F5D080A" w14:textId="2AC4F7A4">
      <w:proofErr w:type="spellStart"/>
      <w:r>
        <w:t>UWaterloo</w:t>
      </w:r>
      <w:proofErr w:type="spellEnd"/>
      <w:r>
        <w:t xml:space="preserve"> Educational Technologies Hum - </w:t>
      </w:r>
      <w:hyperlink r:id="rId11">
        <w:r w:rsidRPr="2107A405">
          <w:rPr>
            <w:rStyle w:val="Hyperlink"/>
          </w:rPr>
          <w:t>Zoom</w:t>
        </w:r>
      </w:hyperlink>
    </w:p>
    <w:p w:rsidR="4EDF2E1A" w:rsidP="2107A405" w:rsidRDefault="4EDF2E1A" w14:paraId="25BE52DD" w14:textId="160C3E62">
      <w:proofErr w:type="spellStart"/>
      <w:r>
        <w:t>UWaterloo</w:t>
      </w:r>
      <w:proofErr w:type="spellEnd"/>
      <w:r>
        <w:t xml:space="preserve"> offers MS Teams meetings, webinars, and townhalls</w:t>
      </w:r>
      <w:r w:rsidR="2E31A0B3">
        <w:t xml:space="preserve">. All employees have access to </w:t>
      </w:r>
      <w:hyperlink r:id="rId12">
        <w:r w:rsidRPr="2107A405" w:rsidR="2E31A0B3">
          <w:rPr>
            <w:rStyle w:val="Hyperlink"/>
          </w:rPr>
          <w:t>meetings and webinars</w:t>
        </w:r>
      </w:hyperlink>
      <w:r w:rsidR="2E31A0B3">
        <w:t>. C</w:t>
      </w:r>
      <w:r>
        <w:t xml:space="preserve">ontact IST For </w:t>
      </w:r>
      <w:hyperlink r:id="rId13">
        <w:r w:rsidRPr="2107A405">
          <w:rPr>
            <w:rStyle w:val="Hyperlink"/>
          </w:rPr>
          <w:t>Townhalls</w:t>
        </w:r>
      </w:hyperlink>
      <w:r>
        <w:t xml:space="preserve">. </w:t>
      </w:r>
    </w:p>
    <w:p w:rsidR="1E9DCBE0" w:rsidP="2107A405" w:rsidRDefault="00D31BED" w14:paraId="48D03217" w14:textId="647269E6">
      <w:hyperlink r:id="rId14">
        <w:r w:rsidRPr="2107A405" w:rsidR="1E9DCBE0">
          <w:rPr>
            <w:rStyle w:val="Hyperlink"/>
          </w:rPr>
          <w:t>MS Teams Accessibility for Live Events</w:t>
        </w:r>
      </w:hyperlink>
    </w:p>
    <w:p w:rsidR="1E9DCBE0" w:rsidP="2107A405" w:rsidRDefault="00D31BED" w14:paraId="3BF92C42" w14:textId="636002E9">
      <w:hyperlink r:id="rId15">
        <w:r w:rsidRPr="2107A405" w:rsidR="1E9DCBE0">
          <w:rPr>
            <w:rStyle w:val="Hyperlink"/>
          </w:rPr>
          <w:t>Zoom Accessibility FAQs</w:t>
        </w:r>
      </w:hyperlink>
    </w:p>
    <w:p w:rsidR="1E9DCBE0" w:rsidP="2107A405" w:rsidRDefault="00D31BED" w14:paraId="2D1A2634" w14:textId="10038796">
      <w:hyperlink r:id="rId16">
        <w:r w:rsidRPr="2107A405" w:rsidR="1E9DCBE0">
          <w:rPr>
            <w:rStyle w:val="Hyperlink"/>
          </w:rPr>
          <w:t>Zoom at Carleton</w:t>
        </w:r>
      </w:hyperlink>
    </w:p>
    <w:p w:rsidR="1E9DCBE0" w:rsidP="2107A405" w:rsidRDefault="00D31BED" w14:paraId="6812D21A" w14:textId="636F14F3">
      <w:hyperlink r:id="rId17">
        <w:r w:rsidRPr="2107A405" w:rsidR="1E9DCBE0">
          <w:rPr>
            <w:rStyle w:val="Hyperlink"/>
          </w:rPr>
          <w:t>MS Teams Overview of Meetings, Webinars, and Townhalls</w:t>
        </w:r>
      </w:hyperlink>
    </w:p>
    <w:p w:rsidR="2107A405" w:rsidP="2107A405" w:rsidRDefault="2107A405" w14:paraId="0C71BD51" w14:textId="1CB7A10F"/>
    <w:p w:rsidR="10A18AC3" w:rsidP="10A18AC3" w:rsidRDefault="10A18AC3" w14:paraId="3CDD8A31" w14:textId="7B5122E3"/>
    <w:p w:rsidR="10A18AC3" w:rsidP="10A18AC3" w:rsidRDefault="10A18AC3" w14:paraId="6BBDE599" w14:textId="1AB364A6"/>
    <w:sectPr w:rsidR="10A18AC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d060df6cd0c4b93"/>
      <w:footerReference w:type="default" r:id="R3a7e32e554c5410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776B0C" w:rsidTr="65776B0C" w14:paraId="2BD5798B">
      <w:trPr>
        <w:trHeight w:val="300"/>
      </w:trPr>
      <w:tc>
        <w:tcPr>
          <w:tcW w:w="3120" w:type="dxa"/>
          <w:tcMar/>
        </w:tcPr>
        <w:p w:rsidR="65776B0C" w:rsidP="65776B0C" w:rsidRDefault="65776B0C" w14:paraId="2CCA9B0D" w14:textId="3FB4701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5776B0C" w:rsidP="65776B0C" w:rsidRDefault="65776B0C" w14:paraId="481B5BDE" w14:textId="228F0C7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5776B0C" w:rsidP="65776B0C" w:rsidRDefault="65776B0C" w14:paraId="0941F4F8" w14:textId="131C40DE">
          <w:pPr>
            <w:pStyle w:val="Header"/>
            <w:bidi w:val="0"/>
            <w:ind w:right="-115"/>
            <w:jc w:val="right"/>
          </w:pPr>
        </w:p>
      </w:tc>
    </w:tr>
  </w:tbl>
  <w:p w:rsidR="65776B0C" w:rsidP="65776B0C" w:rsidRDefault="65776B0C" w14:paraId="6FCC0594" w14:textId="72FFFBE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776B0C" w:rsidTr="65776B0C" w14:paraId="7833F757">
      <w:trPr>
        <w:trHeight w:val="300"/>
      </w:trPr>
      <w:tc>
        <w:tcPr>
          <w:tcW w:w="3120" w:type="dxa"/>
          <w:tcMar/>
        </w:tcPr>
        <w:p w:rsidR="65776B0C" w:rsidP="65776B0C" w:rsidRDefault="65776B0C" w14:paraId="2D387DA3" w14:textId="66BDA95C">
          <w:pPr>
            <w:pStyle w:val="Header"/>
            <w:bidi w:val="0"/>
            <w:ind w:left="-115"/>
            <w:jc w:val="left"/>
          </w:pPr>
          <w:r w:rsidR="65776B0C">
            <w:rPr/>
            <w:t>April 26, 2024</w:t>
          </w:r>
        </w:p>
      </w:tc>
      <w:tc>
        <w:tcPr>
          <w:tcW w:w="3120" w:type="dxa"/>
          <w:tcMar/>
        </w:tcPr>
        <w:p w:rsidR="65776B0C" w:rsidP="65776B0C" w:rsidRDefault="65776B0C" w14:paraId="6ED35C6E" w14:textId="1EAA3DE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5776B0C" w:rsidP="65776B0C" w:rsidRDefault="65776B0C" w14:paraId="6588A8EB" w14:textId="0D3AA8D3">
          <w:pPr>
            <w:pStyle w:val="Header"/>
            <w:bidi w:val="0"/>
            <w:ind w:right="-115"/>
            <w:jc w:val="right"/>
          </w:pPr>
        </w:p>
      </w:tc>
    </w:tr>
  </w:tbl>
  <w:p w:rsidR="65776B0C" w:rsidP="65776B0C" w:rsidRDefault="65776B0C" w14:paraId="519A3716" w14:textId="0B86B4E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A51AD"/>
    <w:multiLevelType w:val="hybridMultilevel"/>
    <w:tmpl w:val="6B1691FE"/>
    <w:lvl w:ilvl="0" w:tplc="606C8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D88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74B7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CA08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D24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046B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6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AC68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ACBA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9D2C71"/>
    <w:multiLevelType w:val="hybridMultilevel"/>
    <w:tmpl w:val="427022FE"/>
    <w:lvl w:ilvl="0" w:tplc="F55A3A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221C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AC3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E8E7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1E4D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028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6C97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4E2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C0FC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4169257">
    <w:abstractNumId w:val="0"/>
  </w:num>
  <w:num w:numId="2" w16cid:durableId="50301414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FEAAC5"/>
    <w:rsid w:val="001A5CFC"/>
    <w:rsid w:val="0033780E"/>
    <w:rsid w:val="00362631"/>
    <w:rsid w:val="003E3F58"/>
    <w:rsid w:val="00612740"/>
    <w:rsid w:val="00934BDE"/>
    <w:rsid w:val="009C70D5"/>
    <w:rsid w:val="009E6E07"/>
    <w:rsid w:val="00B63913"/>
    <w:rsid w:val="00D31BED"/>
    <w:rsid w:val="00DB137E"/>
    <w:rsid w:val="00E06ACA"/>
    <w:rsid w:val="00E36371"/>
    <w:rsid w:val="00E47CFC"/>
    <w:rsid w:val="00E541C6"/>
    <w:rsid w:val="00FB0003"/>
    <w:rsid w:val="026F3F4C"/>
    <w:rsid w:val="02AE1C59"/>
    <w:rsid w:val="031CE503"/>
    <w:rsid w:val="04D524BC"/>
    <w:rsid w:val="0521B888"/>
    <w:rsid w:val="0670035F"/>
    <w:rsid w:val="07991255"/>
    <w:rsid w:val="07F1F3CE"/>
    <w:rsid w:val="091A8F15"/>
    <w:rsid w:val="09837B67"/>
    <w:rsid w:val="0AB65F76"/>
    <w:rsid w:val="0B1C4035"/>
    <w:rsid w:val="0B81CD9E"/>
    <w:rsid w:val="0B90FA0C"/>
    <w:rsid w:val="0DEE0038"/>
    <w:rsid w:val="0EC89ACE"/>
    <w:rsid w:val="0F3C877D"/>
    <w:rsid w:val="0FF190CA"/>
    <w:rsid w:val="10A18AC3"/>
    <w:rsid w:val="1184B8D7"/>
    <w:rsid w:val="13EAA9B0"/>
    <w:rsid w:val="1429641A"/>
    <w:rsid w:val="1580FFDF"/>
    <w:rsid w:val="1613316C"/>
    <w:rsid w:val="16381F57"/>
    <w:rsid w:val="16D3ACB3"/>
    <w:rsid w:val="16D7B217"/>
    <w:rsid w:val="170C9E86"/>
    <w:rsid w:val="17D3EFB8"/>
    <w:rsid w:val="1A62C977"/>
    <w:rsid w:val="1AE5E80B"/>
    <w:rsid w:val="1C5D8F4B"/>
    <w:rsid w:val="1C734586"/>
    <w:rsid w:val="1CDEFDB6"/>
    <w:rsid w:val="1D87FB51"/>
    <w:rsid w:val="1E9DCBE0"/>
    <w:rsid w:val="1EDEBE98"/>
    <w:rsid w:val="1F078E35"/>
    <w:rsid w:val="1F3CAEA4"/>
    <w:rsid w:val="200DF012"/>
    <w:rsid w:val="2107A405"/>
    <w:rsid w:val="21E4D9E4"/>
    <w:rsid w:val="23CC1E9A"/>
    <w:rsid w:val="2494B7D7"/>
    <w:rsid w:val="257A5B4C"/>
    <w:rsid w:val="283090E9"/>
    <w:rsid w:val="2851801F"/>
    <w:rsid w:val="2AA3CC3E"/>
    <w:rsid w:val="2B55B6D2"/>
    <w:rsid w:val="2C6CF98B"/>
    <w:rsid w:val="2C86A15F"/>
    <w:rsid w:val="2E0BEC6F"/>
    <w:rsid w:val="2E2271C0"/>
    <w:rsid w:val="2E31A0B3"/>
    <w:rsid w:val="2F1BFECA"/>
    <w:rsid w:val="2F437A36"/>
    <w:rsid w:val="307B54B2"/>
    <w:rsid w:val="32B0371E"/>
    <w:rsid w:val="337857A9"/>
    <w:rsid w:val="34E87BDB"/>
    <w:rsid w:val="35BF61A8"/>
    <w:rsid w:val="38A55C00"/>
    <w:rsid w:val="39F23973"/>
    <w:rsid w:val="3ACAE01D"/>
    <w:rsid w:val="3B573CB9"/>
    <w:rsid w:val="3BC9748E"/>
    <w:rsid w:val="3D86CA91"/>
    <w:rsid w:val="4058E484"/>
    <w:rsid w:val="40617AF7"/>
    <w:rsid w:val="42411357"/>
    <w:rsid w:val="43492641"/>
    <w:rsid w:val="43ADF74B"/>
    <w:rsid w:val="43EAEA67"/>
    <w:rsid w:val="463D55F5"/>
    <w:rsid w:val="4724CCB6"/>
    <w:rsid w:val="475D12D1"/>
    <w:rsid w:val="47AE1BB8"/>
    <w:rsid w:val="48286098"/>
    <w:rsid w:val="48F310E2"/>
    <w:rsid w:val="49C307A4"/>
    <w:rsid w:val="4BF1B328"/>
    <w:rsid w:val="4C90030B"/>
    <w:rsid w:val="4D3235E6"/>
    <w:rsid w:val="4E67E1B1"/>
    <w:rsid w:val="4EDF2E1A"/>
    <w:rsid w:val="50C5244B"/>
    <w:rsid w:val="521CD51B"/>
    <w:rsid w:val="5260F4AC"/>
    <w:rsid w:val="52AE49CE"/>
    <w:rsid w:val="53A31305"/>
    <w:rsid w:val="54C0C2C6"/>
    <w:rsid w:val="5545A101"/>
    <w:rsid w:val="5598956E"/>
    <w:rsid w:val="5664F2F7"/>
    <w:rsid w:val="56AD4BFB"/>
    <w:rsid w:val="58624DB2"/>
    <w:rsid w:val="58D823B6"/>
    <w:rsid w:val="597FD08E"/>
    <w:rsid w:val="5A87C93C"/>
    <w:rsid w:val="5B94FC8D"/>
    <w:rsid w:val="5C20FF4F"/>
    <w:rsid w:val="5CB9CDAC"/>
    <w:rsid w:val="5EE5C5AC"/>
    <w:rsid w:val="5F304B46"/>
    <w:rsid w:val="5F3EDD1E"/>
    <w:rsid w:val="5F3F77B4"/>
    <w:rsid w:val="5F47653A"/>
    <w:rsid w:val="5FCC8CC0"/>
    <w:rsid w:val="60CC1BA7"/>
    <w:rsid w:val="6267EC08"/>
    <w:rsid w:val="627F05FC"/>
    <w:rsid w:val="63042D82"/>
    <w:rsid w:val="6412E8D7"/>
    <w:rsid w:val="641AD65D"/>
    <w:rsid w:val="641F407D"/>
    <w:rsid w:val="64432BFE"/>
    <w:rsid w:val="649FFDE3"/>
    <w:rsid w:val="6516A7F0"/>
    <w:rsid w:val="65776B0C"/>
    <w:rsid w:val="65AEB938"/>
    <w:rsid w:val="66D7AF34"/>
    <w:rsid w:val="66DFB3A7"/>
    <w:rsid w:val="66FD5E1B"/>
    <w:rsid w:val="67D79EA5"/>
    <w:rsid w:val="685BA91F"/>
    <w:rsid w:val="68737F95"/>
    <w:rsid w:val="68C6A57E"/>
    <w:rsid w:val="69060716"/>
    <w:rsid w:val="6A867C3C"/>
    <w:rsid w:val="6AC6C27C"/>
    <w:rsid w:val="6B0F3F67"/>
    <w:rsid w:val="6B11DEBC"/>
    <w:rsid w:val="6BDBD520"/>
    <w:rsid w:val="6CB2FD4E"/>
    <w:rsid w:val="6D1E3DC1"/>
    <w:rsid w:val="6DB9CB1D"/>
    <w:rsid w:val="6DC1B8A3"/>
    <w:rsid w:val="6DFED837"/>
    <w:rsid w:val="6E46E029"/>
    <w:rsid w:val="6E741B14"/>
    <w:rsid w:val="6EBA0E22"/>
    <w:rsid w:val="6F559B7E"/>
    <w:rsid w:val="6F5D8904"/>
    <w:rsid w:val="6FE2B08A"/>
    <w:rsid w:val="700FEB75"/>
    <w:rsid w:val="70BBB789"/>
    <w:rsid w:val="70F95965"/>
    <w:rsid w:val="7172546D"/>
    <w:rsid w:val="72BE2184"/>
    <w:rsid w:val="72D2495A"/>
    <w:rsid w:val="730023DB"/>
    <w:rsid w:val="73223ED2"/>
    <w:rsid w:val="73A36FDF"/>
    <w:rsid w:val="7609EA1C"/>
    <w:rsid w:val="7760AD63"/>
    <w:rsid w:val="77689AE9"/>
    <w:rsid w:val="78F53EDC"/>
    <w:rsid w:val="79643DF5"/>
    <w:rsid w:val="797B3AB1"/>
    <w:rsid w:val="79F3F770"/>
    <w:rsid w:val="7AFEAAC5"/>
    <w:rsid w:val="7B2D50B7"/>
    <w:rsid w:val="7B82EC6D"/>
    <w:rsid w:val="7BC610B6"/>
    <w:rsid w:val="7D99B8A2"/>
    <w:rsid w:val="7DF03E78"/>
    <w:rsid w:val="7E7C4653"/>
    <w:rsid w:val="7F5D9EF3"/>
    <w:rsid w:val="7F73A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2852"/>
  <w15:chartTrackingRefBased/>
  <w15:docId w15:val="{018D8515-4593-4522-82A8-E0A929402C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waterloo.ca/educational-technology-hub/catalogs/centrally-supported-tools/zoom" TargetMode="External" Id="rId8" /><Relationship Type="http://schemas.openxmlformats.org/officeDocument/2006/relationships/hyperlink" Target="https://uwaterloo.atlassian.net/wiki/spaces/ISTKB/pages/2411102247/Town+hall+overview+in+Microsoft+Teams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uwaterloo.atlassian.net/wiki/spaces/ISTKB/pages/2689269765/Overview+of+Teams+Webinars" TargetMode="External" Id="rId7" /><Relationship Type="http://schemas.openxmlformats.org/officeDocument/2006/relationships/hyperlink" Target="https://uwaterloo.ca/information-systems-technology/news/microsoft-teams-webinars-feature-now-available" TargetMode="External" Id="rId12" /><Relationship Type="http://schemas.openxmlformats.org/officeDocument/2006/relationships/hyperlink" Target="https://learn.microsoft.com/en-us/microsoftteams/overview-meetings-webinars-town-halls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carleton.ca/zoom/zoom-accessibility/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uwaterloo.ca/educational-technology-hub/catalogs/centrally-supported-tools/zoom" TargetMode="External" Id="rId6" /><Relationship Type="http://schemas.openxmlformats.org/officeDocument/2006/relationships/hyperlink" Target="https://uwaterloo.ca/educational-technology-hub/catalogs/centrally-supported-tools/zoom" TargetMode="External" Id="rId11" /><Relationship Type="http://schemas.openxmlformats.org/officeDocument/2006/relationships/hyperlink" Target="https://uwaterloo.ca/information-systems-technology-newsletter/winter-2019/feature/microsoft-teams" TargetMode="External" Id="rId5" /><Relationship Type="http://schemas.openxmlformats.org/officeDocument/2006/relationships/hyperlink" Target="https://www.zoom.com/en/accessibility/faq/" TargetMode="External" Id="rId15" /><Relationship Type="http://schemas.openxmlformats.org/officeDocument/2006/relationships/hyperlink" Target="https://www.zoom.com/en/products/event-platform/?creative=673196430222&amp;keyword=zoom%20events&amp;matchtype=e&amp;network=g&amp;device=c&amp;zcid=13711&amp;gad_source=1&amp;gclid=CjwKCAjwoa2xBhACEiwA1sb1BBaXfsf1gu5Hj9naUGlPRDTjVlT3AhES_AfAtucRLkHcoYWTfRuaixoC1dQQAvD_BwE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uwaterloo.atlassian.net/wiki/spaces/ISTSERV/pages/42583490872/Town+hall+in+Microsoft+Teams" TargetMode="External" Id="rId9" /><Relationship Type="http://schemas.openxmlformats.org/officeDocument/2006/relationships/hyperlink" Target="https://support.microsoft.com/en-us/office/take-advantage-of-the-accessibility-features-in-microsoft-teams-for-a-better-meeting-or-live-event-experience-eec38ba3-689b-4ab4-8b6a-1c1c30259d86" TargetMode="External" Id="rId14" /><Relationship Type="http://schemas.openxmlformats.org/officeDocument/2006/relationships/header" Target="header.xml" Id="Rdd060df6cd0c4b93" /><Relationship Type="http://schemas.openxmlformats.org/officeDocument/2006/relationships/footer" Target="footer.xml" Id="R3a7e32e554c541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Zaza</dc:creator>
  <keywords/>
  <dc:description/>
  <lastModifiedBy>Samantha Fowler</lastModifiedBy>
  <revision>15</revision>
  <dcterms:created xsi:type="dcterms:W3CDTF">2024-04-25T20:12:00.0000000Z</dcterms:created>
  <dcterms:modified xsi:type="dcterms:W3CDTF">2024-05-21T15:18:42.0130994Z</dcterms:modified>
</coreProperties>
</file>