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1570" w14:textId="20E3D746" w:rsidR="00616140" w:rsidRDefault="00616140" w:rsidP="00323007">
      <w:pPr>
        <w:pStyle w:val="Heading1"/>
      </w:pPr>
      <w:r>
        <w:t xml:space="preserve">INTRODUCTION </w:t>
      </w:r>
      <w:r w:rsidRPr="00323007">
        <w:t>AND</w:t>
      </w:r>
      <w:r>
        <w:t xml:space="preserve"> SCOPE</w:t>
      </w:r>
    </w:p>
    <w:p w14:paraId="5D986970" w14:textId="7CCC3541" w:rsidR="00616140" w:rsidRDefault="00616140" w:rsidP="001B50C3">
      <w:pPr>
        <w:pStyle w:val="Heading2"/>
      </w:pPr>
      <w:r>
        <w:t xml:space="preserve">This Standard Operating Procedure provides instructions for users conducting </w:t>
      </w:r>
      <w:r w:rsidR="009A7F78">
        <w:t>sample preparation</w:t>
      </w:r>
      <w:r w:rsidR="00B12707">
        <w:t>/</w:t>
      </w:r>
      <w:r w:rsidR="009A7F78">
        <w:t>digestion</w:t>
      </w:r>
      <w:r w:rsidR="00402F41">
        <w:t xml:space="preserve"> </w:t>
      </w:r>
      <w:r w:rsidR="00C96604">
        <w:t xml:space="preserve">for </w:t>
      </w:r>
      <w:r w:rsidR="00402F41">
        <w:t xml:space="preserve">and running samples in the </w:t>
      </w:r>
      <w:r w:rsidR="00F27175">
        <w:t>ICP</w:t>
      </w:r>
      <w:r w:rsidR="00402F41">
        <w:t>-OES</w:t>
      </w:r>
      <w:r>
        <w:t xml:space="preserve"> in the analytical laboratory. </w:t>
      </w:r>
    </w:p>
    <w:p w14:paraId="3B11E25A" w14:textId="5F12520A" w:rsidR="00616140" w:rsidRDefault="00616140" w:rsidP="007C6ADA">
      <w:pPr>
        <w:pStyle w:val="Heading1"/>
      </w:pPr>
      <w:r>
        <w:t>RESPONSABILITIES</w:t>
      </w:r>
    </w:p>
    <w:p w14:paraId="3825696B" w14:textId="2B5146F5" w:rsidR="00616140" w:rsidRDefault="00616140" w:rsidP="000D61C3">
      <w:pPr>
        <w:pStyle w:val="Heading2"/>
      </w:pPr>
      <w:r>
        <w:t xml:space="preserve">Users must be trained by the Lab Manager before using </w:t>
      </w:r>
      <w:r w:rsidR="00163162">
        <w:t>conducting these procedures</w:t>
      </w:r>
      <w:r>
        <w:t xml:space="preserve"> and they must follow the procedures described in this document.  User</w:t>
      </w:r>
      <w:r w:rsidR="003821A5">
        <w:t>s</w:t>
      </w:r>
      <w:r>
        <w:t xml:space="preserve"> are responsible for monitoring the experiments and should notify the Lab Manager immediately if the </w:t>
      </w:r>
      <w:r w:rsidR="00276FD2">
        <w:t>digestion process</w:t>
      </w:r>
      <w:r w:rsidR="00C96604">
        <w:t>/instrument</w:t>
      </w:r>
      <w:r>
        <w:t xml:space="preserve"> is not</w:t>
      </w:r>
      <w:r w:rsidR="00561C56">
        <w:t xml:space="preserve"> occurring</w:t>
      </w:r>
      <w:r>
        <w:t xml:space="preserve"> correctly.</w:t>
      </w:r>
    </w:p>
    <w:p w14:paraId="0E49F5BB" w14:textId="7F25BCD3" w:rsidR="00616140" w:rsidRDefault="00616140" w:rsidP="001B50C3">
      <w:pPr>
        <w:pStyle w:val="Heading2"/>
      </w:pPr>
      <w:r>
        <w:t>The Lab Manager is responsible for training, general maintenance, and repair when necessary.</w:t>
      </w:r>
    </w:p>
    <w:p w14:paraId="4664C1D4" w14:textId="1253AB7F" w:rsidR="00616140" w:rsidRDefault="00616140" w:rsidP="007C6ADA">
      <w:pPr>
        <w:pStyle w:val="Heading1"/>
      </w:pPr>
      <w:r>
        <w:t>OVERVIEW</w:t>
      </w:r>
    </w:p>
    <w:p w14:paraId="22B1F272" w14:textId="14BD28D9" w:rsidR="00005371" w:rsidRDefault="00005371" w:rsidP="001B50C3">
      <w:pPr>
        <w:pStyle w:val="Heading2"/>
      </w:pPr>
      <w:r w:rsidRPr="00005371">
        <w:t>Inductively coupled plasma optical emission spectrometry (ICP-OES), is an analytical technique used for the detection</w:t>
      </w:r>
      <w:r w:rsidR="005B2B35">
        <w:t xml:space="preserve"> and quantification</w:t>
      </w:r>
      <w:r w:rsidRPr="00005371">
        <w:t xml:space="preserve"> of chemical elements. It uses the inductively coupled plasma to produce excited atoms and ions that emit electromagnetic radiation at wavelengths characteristic of a particular element.</w:t>
      </w:r>
      <w:r w:rsidR="00630B8A" w:rsidRPr="00630B8A">
        <w:t xml:space="preserve"> The intensity of the emissions from various wavelengths of light are proportional to the concentrations of the elements within the sample.</w:t>
      </w:r>
    </w:p>
    <w:p w14:paraId="3F1C617E" w14:textId="6849CC02" w:rsidR="00616140" w:rsidRDefault="00A844D3" w:rsidP="001B50C3">
      <w:pPr>
        <w:pStyle w:val="Heading2"/>
      </w:pPr>
      <w:r w:rsidRPr="00A844D3">
        <w:t xml:space="preserve">A variety of sample types can be analyzed by inductively coupled plasma optical emission spectroscopy (ICP-OES), including aqueous and organic liquid and solid samples. These </w:t>
      </w:r>
      <w:proofErr w:type="gramStart"/>
      <w:r w:rsidRPr="00A844D3">
        <w:t>have to</w:t>
      </w:r>
      <w:proofErr w:type="gramEnd"/>
      <w:r w:rsidRPr="00A844D3">
        <w:t xml:space="preserve"> be brought into a state that the ICP-OES instrument </w:t>
      </w:r>
      <w:proofErr w:type="gramStart"/>
      <w:r w:rsidRPr="00A844D3">
        <w:t>as a whole can</w:t>
      </w:r>
      <w:proofErr w:type="gramEnd"/>
      <w:r w:rsidRPr="00A844D3">
        <w:t xml:space="preserve"> process for elemental analysis</w:t>
      </w:r>
      <w:r w:rsidR="006B01BD">
        <w:t>.</w:t>
      </w:r>
      <w:r w:rsidR="00264534">
        <w:t xml:space="preserve"> </w:t>
      </w:r>
      <w:r w:rsidR="00264534" w:rsidRPr="00264534">
        <w:t xml:space="preserve">The </w:t>
      </w:r>
      <w:r w:rsidR="00264534">
        <w:t xml:space="preserve">ICP </w:t>
      </w:r>
      <w:r w:rsidR="00DC4926">
        <w:t>in the analytical lab</w:t>
      </w:r>
      <w:r w:rsidR="0086127B">
        <w:t xml:space="preserve"> is </w:t>
      </w:r>
      <w:r w:rsidR="00C6179D">
        <w:t>normally</w:t>
      </w:r>
      <w:r w:rsidR="00EC1CB0">
        <w:t xml:space="preserve"> </w:t>
      </w:r>
      <w:r w:rsidR="0086127B">
        <w:t xml:space="preserve">setup to </w:t>
      </w:r>
      <w:r w:rsidR="00DC4926">
        <w:t>handle</w:t>
      </w:r>
      <w:r w:rsidR="008820C0">
        <w:t xml:space="preserve"> </w:t>
      </w:r>
      <w:r w:rsidR="00EC1CB0">
        <w:t xml:space="preserve">aqueous liquid </w:t>
      </w:r>
      <w:r w:rsidR="00264534" w:rsidRPr="00264534">
        <w:t>sample</w:t>
      </w:r>
      <w:r w:rsidR="00EC1CB0">
        <w:t xml:space="preserve">s, but </w:t>
      </w:r>
      <w:r w:rsidR="00C6179D">
        <w:t xml:space="preserve">it has the capability of processing organic liquids </w:t>
      </w:r>
      <w:r w:rsidR="00D045B3">
        <w:t>as well.</w:t>
      </w:r>
      <w:r w:rsidR="00264534" w:rsidRPr="00264534">
        <w:t xml:space="preserve"> </w:t>
      </w:r>
      <w:r w:rsidR="00D045B3">
        <w:t>In any of these cases, a</w:t>
      </w:r>
      <w:r w:rsidR="00264534" w:rsidRPr="00264534">
        <w:t xml:space="preserve"> liquid sample is introduced using a peristaltic pump to ensure constant, stable flow. </w:t>
      </w:r>
      <w:r w:rsidR="00624D74">
        <w:t>A</w:t>
      </w:r>
      <w:r w:rsidR="00264534" w:rsidRPr="00264534">
        <w:t xml:space="preserve"> nebulizer uses a high-speed flow of </w:t>
      </w:r>
      <w:r w:rsidR="00624D74">
        <w:t>argon</w:t>
      </w:r>
      <w:r w:rsidR="00264534" w:rsidRPr="00264534">
        <w:t xml:space="preserve"> to shatter small droplets of liquid into an aerosol. This aerosol is then introduced into a spray chamber which removes the larger droplets. Only the aerosol is then transported to the plasma.</w:t>
      </w:r>
      <w:r w:rsidR="002F1756">
        <w:t xml:space="preserve"> </w:t>
      </w:r>
      <w:r w:rsidR="00994331">
        <w:t>T</w:t>
      </w:r>
      <w:r w:rsidR="00994331" w:rsidRPr="00994331">
        <w:t>ransfer lenses are then used to focus the emitted light on a diffraction grating where it is separated into its component wavelengths in the optical spectrometer</w:t>
      </w:r>
      <w:r w:rsidR="00830504">
        <w:t xml:space="preserve">. </w:t>
      </w:r>
      <w:r w:rsidR="002F1756">
        <w:t xml:space="preserve">A diagram of </w:t>
      </w:r>
      <w:r w:rsidR="003B79DF">
        <w:t xml:space="preserve">a typical ICP-OES is presented in </w:t>
      </w:r>
      <w:r w:rsidR="002B0CE8">
        <w:fldChar w:fldCharType="begin"/>
      </w:r>
      <w:r w:rsidR="002B0CE8">
        <w:instrText xml:space="preserve"> REF _Ref97882054 \h </w:instrText>
      </w:r>
      <w:r w:rsidR="002B0CE8">
        <w:fldChar w:fldCharType="separate"/>
      </w:r>
      <w:r w:rsidR="00D752AE">
        <w:t xml:space="preserve">Figure </w:t>
      </w:r>
      <w:r w:rsidR="00D752AE">
        <w:rPr>
          <w:noProof/>
        </w:rPr>
        <w:t>1</w:t>
      </w:r>
      <w:r w:rsidR="002B0CE8">
        <w:fldChar w:fldCharType="end"/>
      </w:r>
    </w:p>
    <w:p w14:paraId="51BC45FA" w14:textId="4D5021AF" w:rsidR="002F1756" w:rsidRDefault="002F1756" w:rsidP="003B79DF">
      <w:pPr>
        <w:pStyle w:val="Heading2"/>
        <w:numPr>
          <w:ilvl w:val="0"/>
          <w:numId w:val="0"/>
        </w:numPr>
        <w:jc w:val="center"/>
      </w:pPr>
      <w:r>
        <w:rPr>
          <w:noProof/>
        </w:rPr>
        <w:drawing>
          <wp:inline distT="0" distB="0" distL="0" distR="0" wp14:anchorId="3C09B865" wp14:editId="70E3DA84">
            <wp:extent cx="3136900" cy="2730500"/>
            <wp:effectExtent l="0" t="0" r="635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900" cy="2730500"/>
                    </a:xfrm>
                    <a:prstGeom prst="rect">
                      <a:avLst/>
                    </a:prstGeom>
                    <a:noFill/>
                    <a:ln>
                      <a:noFill/>
                    </a:ln>
                  </pic:spPr>
                </pic:pic>
              </a:graphicData>
            </a:graphic>
          </wp:inline>
        </w:drawing>
      </w:r>
    </w:p>
    <w:p w14:paraId="162902A1" w14:textId="56EDB879" w:rsidR="003B79DF" w:rsidRDefault="003B79DF" w:rsidP="003B79DF">
      <w:pPr>
        <w:pStyle w:val="Caption"/>
      </w:pPr>
      <w:bookmarkStart w:id="0" w:name="_Ref97882054"/>
      <w:r>
        <w:t xml:space="preserve">Figure </w:t>
      </w:r>
      <w:fldSimple w:instr=" SEQ Figure \* ARABIC ">
        <w:r w:rsidR="00D752AE">
          <w:rPr>
            <w:noProof/>
          </w:rPr>
          <w:t>1</w:t>
        </w:r>
      </w:fldSimple>
      <w:bookmarkEnd w:id="0"/>
      <w:r>
        <w:t>. Diagram of a typical ICP-OES</w:t>
      </w:r>
    </w:p>
    <w:p w14:paraId="28DB7731" w14:textId="758E4652" w:rsidR="002F1756" w:rsidRDefault="00855E9C" w:rsidP="00ED52B2">
      <w:pPr>
        <w:pStyle w:val="Heading2"/>
      </w:pPr>
      <w:r>
        <w:lastRenderedPageBreak/>
        <w:t>Analytes must be completely dissolved</w:t>
      </w:r>
      <w:r w:rsidR="00DE0AC0">
        <w:t xml:space="preserve"> in a liquid</w:t>
      </w:r>
      <w:r>
        <w:t xml:space="preserve"> for accurate</w:t>
      </w:r>
      <w:r w:rsidR="000B4B4A">
        <w:t xml:space="preserve"> </w:t>
      </w:r>
      <w:r>
        <w:t>analysis of solutions by ICP-OES</w:t>
      </w:r>
      <w:r w:rsidR="00437B92">
        <w:t xml:space="preserve">, </w:t>
      </w:r>
      <w:r w:rsidR="00830504">
        <w:t xml:space="preserve">since </w:t>
      </w:r>
      <w:r w:rsidR="00437B92">
        <w:t>only</w:t>
      </w:r>
      <w:r w:rsidR="008436C9">
        <w:t xml:space="preserve"> the analytes</w:t>
      </w:r>
      <w:r w:rsidR="00437B92">
        <w:t xml:space="preserve"> </w:t>
      </w:r>
      <w:r w:rsidR="008436C9">
        <w:t xml:space="preserve">in </w:t>
      </w:r>
      <w:r w:rsidR="00437B92">
        <w:t xml:space="preserve">the aerosol </w:t>
      </w:r>
      <w:r w:rsidR="008436C9">
        <w:t>will be detected</w:t>
      </w:r>
      <w:r w:rsidR="000B4B4A">
        <w:t xml:space="preserve">.  </w:t>
      </w:r>
      <w:r w:rsidR="00B12A43" w:rsidRPr="00B12A43">
        <w:t>If</w:t>
      </w:r>
      <w:r w:rsidR="009162AC">
        <w:t xml:space="preserve"> the </w:t>
      </w:r>
      <w:r w:rsidR="00B12A43" w:rsidRPr="00B12A43">
        <w:t xml:space="preserve">sample is a liquid or soluble in a </w:t>
      </w:r>
      <w:r w:rsidR="00720215" w:rsidRPr="00B12A43">
        <w:t>liquid,</w:t>
      </w:r>
      <w:r w:rsidR="00B12A43" w:rsidRPr="00B12A43">
        <w:t xml:space="preserve"> then the sample preparation is relatively simple. If the sample is not soluble in a </w:t>
      </w:r>
      <w:r w:rsidR="009162AC" w:rsidRPr="00B12A43">
        <w:t>solvent,</w:t>
      </w:r>
      <w:r w:rsidR="00B12A43" w:rsidRPr="00B12A43">
        <w:t xml:space="preserve"> then sample preparation techniques such as acid digestion, </w:t>
      </w:r>
      <w:proofErr w:type="spellStart"/>
      <w:r w:rsidR="00B12A43" w:rsidRPr="00B12A43">
        <w:t>ashing</w:t>
      </w:r>
      <w:proofErr w:type="spellEnd"/>
      <w:r w:rsidR="00B12A43" w:rsidRPr="00B12A43">
        <w:t>, or fusion are required.</w:t>
      </w:r>
      <w:r w:rsidR="00237AF4">
        <w:t xml:space="preserve"> </w:t>
      </w:r>
      <w:r w:rsidR="00526723">
        <w:t>This SOP wi</w:t>
      </w:r>
      <w:r w:rsidR="00506BFA">
        <w:t>ll discuss common preparation techniques where the solvent is water</w:t>
      </w:r>
      <w:r w:rsidR="004656D1">
        <w:t xml:space="preserve">. If </w:t>
      </w:r>
      <w:r w:rsidR="008B78F8">
        <w:t xml:space="preserve">the </w:t>
      </w:r>
      <w:r w:rsidR="004656D1">
        <w:t>sample preparation procedure is not cover</w:t>
      </w:r>
      <w:r w:rsidR="00110012">
        <w:t xml:space="preserve"> by this document, you </w:t>
      </w:r>
      <w:r w:rsidR="008B78F8">
        <w:t xml:space="preserve">may </w:t>
      </w:r>
      <w:r w:rsidR="00110012">
        <w:t xml:space="preserve">need to </w:t>
      </w:r>
      <w:r w:rsidR="00864DC3">
        <w:t>create</w:t>
      </w:r>
      <w:r w:rsidR="00110012">
        <w:t xml:space="preserve"> a separate SOP before p</w:t>
      </w:r>
      <w:r w:rsidR="00864DC3">
        <w:t>reparing samples in the analytical lab.</w:t>
      </w:r>
    </w:p>
    <w:p w14:paraId="26153E17" w14:textId="2FA1C679" w:rsidR="00343E79" w:rsidRPr="00ED52B2" w:rsidRDefault="00343E79" w:rsidP="00ED52B2">
      <w:pPr>
        <w:pStyle w:val="Heading2"/>
      </w:pPr>
      <w:r>
        <w:t xml:space="preserve">Depending on the procedure need to </w:t>
      </w:r>
      <w:r w:rsidR="00D4634C">
        <w:t>prepare</w:t>
      </w:r>
      <w:r>
        <w:t xml:space="preserve"> your sample, some components of the </w:t>
      </w:r>
      <w:r w:rsidR="00C1189E">
        <w:t xml:space="preserve">ICP may need to be </w:t>
      </w:r>
      <w:r w:rsidR="0004169B">
        <w:t>replaced</w:t>
      </w:r>
      <w:r w:rsidR="00C1189E">
        <w:t>.</w:t>
      </w:r>
      <w:r w:rsidR="0004169B">
        <w:t xml:space="preserve"> The </w:t>
      </w:r>
      <w:r w:rsidR="00D4634C">
        <w:t>standard</w:t>
      </w:r>
      <w:r w:rsidR="0004169B">
        <w:t xml:space="preserve"> </w:t>
      </w:r>
      <w:bookmarkStart w:id="1" w:name="_Hlk97900672"/>
      <w:r w:rsidR="0004169B">
        <w:t>nebulizer</w:t>
      </w:r>
      <w:r w:rsidR="00A8561F">
        <w:t xml:space="preserve">, spray chamber, and </w:t>
      </w:r>
      <w:r w:rsidR="00D437CA">
        <w:t xml:space="preserve">torch </w:t>
      </w:r>
      <w:bookmarkEnd w:id="1"/>
      <w:r w:rsidR="00D437CA">
        <w:t xml:space="preserve">are </w:t>
      </w:r>
      <w:r w:rsidR="0031053A">
        <w:t xml:space="preserve">made of quartz and are not </w:t>
      </w:r>
      <w:r w:rsidR="00FA018D">
        <w:t xml:space="preserve">suitable for </w:t>
      </w:r>
      <w:r w:rsidR="00D437CA">
        <w:t xml:space="preserve">samples </w:t>
      </w:r>
      <w:r w:rsidR="00FA018D">
        <w:t>con</w:t>
      </w:r>
      <w:r w:rsidR="00D437CA">
        <w:t>tain</w:t>
      </w:r>
      <w:r w:rsidR="00BC4A06">
        <w:t>ing</w:t>
      </w:r>
      <w:r w:rsidR="00D437CA">
        <w:t xml:space="preserve"> HF</w:t>
      </w:r>
      <w:r w:rsidR="0093320C">
        <w:t xml:space="preserve">, </w:t>
      </w:r>
      <w:r w:rsidR="00DC2838">
        <w:t>although trace</w:t>
      </w:r>
      <w:r w:rsidR="00FA018D">
        <w:t xml:space="preserve"> amounts </w:t>
      </w:r>
      <w:r w:rsidR="00FF0765">
        <w:t>of HF are</w:t>
      </w:r>
      <w:r w:rsidR="00DC2838">
        <w:t xml:space="preserve"> accepted</w:t>
      </w:r>
      <w:r w:rsidR="00D437CA">
        <w:t>.</w:t>
      </w:r>
      <w:r w:rsidR="000A09E4">
        <w:t xml:space="preserve"> </w:t>
      </w:r>
      <w:r w:rsidR="00D437CA">
        <w:t xml:space="preserve"> </w:t>
      </w:r>
      <w:r w:rsidR="00942F61">
        <w:t>Samples containing HF require</w:t>
      </w:r>
      <w:r w:rsidR="003E50EC">
        <w:t xml:space="preserve"> </w:t>
      </w:r>
      <w:r w:rsidR="00E67EEC">
        <w:t xml:space="preserve">special </w:t>
      </w:r>
      <w:r w:rsidR="003E50EC" w:rsidRPr="003E50EC">
        <w:t xml:space="preserve">nebulizer, spray chamber, and torch </w:t>
      </w:r>
      <w:r w:rsidR="003E50EC">
        <w:t xml:space="preserve">which are </w:t>
      </w:r>
      <w:r w:rsidR="005B47A4">
        <w:t>available in the analytical lab.</w:t>
      </w:r>
      <w:r w:rsidR="003E50EC">
        <w:t xml:space="preserve"> </w:t>
      </w:r>
      <w:r w:rsidR="00AD7341">
        <w:t xml:space="preserve">The standard tubing is made of PVC and may be incompatible with </w:t>
      </w:r>
      <w:r w:rsidR="00FE5776">
        <w:t xml:space="preserve">some </w:t>
      </w:r>
      <w:r w:rsidR="00AD7341">
        <w:t>o</w:t>
      </w:r>
      <w:r w:rsidR="003E50EC">
        <w:t>rganic solvents</w:t>
      </w:r>
      <w:r w:rsidR="00AD7341">
        <w:t xml:space="preserve">. </w:t>
      </w:r>
      <w:r w:rsidR="00FE5776">
        <w:t>Tubing with a</w:t>
      </w:r>
      <w:r w:rsidR="0003427A">
        <w:t xml:space="preserve">lternative materials </w:t>
      </w:r>
      <w:r w:rsidR="00D032A3">
        <w:t>is</w:t>
      </w:r>
      <w:r w:rsidR="0003427A">
        <w:t xml:space="preserve"> available from different vendors</w:t>
      </w:r>
      <w:r w:rsidR="007248AA">
        <w:t>, such as SCP Science.</w:t>
      </w:r>
    </w:p>
    <w:p w14:paraId="17808462" w14:textId="77777777" w:rsidR="006A0E44" w:rsidRDefault="006A0E44" w:rsidP="007931F0">
      <w:pPr>
        <w:pStyle w:val="Caption"/>
      </w:pPr>
      <w:bookmarkStart w:id="2" w:name="_Ref38984148"/>
    </w:p>
    <w:bookmarkEnd w:id="2"/>
    <w:p w14:paraId="5D6B83F3" w14:textId="12C34E80" w:rsidR="00616140" w:rsidRPr="00BE34B0" w:rsidRDefault="00616140" w:rsidP="007C6ADA">
      <w:pPr>
        <w:pStyle w:val="Heading1"/>
      </w:pPr>
      <w:r w:rsidRPr="00BE34B0">
        <w:t>POTENTIAL RISKS AND HAZARDS</w:t>
      </w:r>
    </w:p>
    <w:p w14:paraId="0433EF30" w14:textId="77777777" w:rsidR="00D467CC" w:rsidRPr="00370F75" w:rsidRDefault="00D467CC" w:rsidP="00D467CC">
      <w:pPr>
        <w:pStyle w:val="Heading2"/>
        <w:ind w:left="576" w:hanging="576"/>
      </w:pPr>
      <w:r>
        <w:t>Even if your samples may be harmless, the samples from other users may not be. So a</w:t>
      </w:r>
      <w:r w:rsidRPr="00370F75">
        <w:t xml:space="preserve">ppropriate laboratory attire is </w:t>
      </w:r>
      <w:proofErr w:type="gramStart"/>
      <w:r w:rsidRPr="00370F75">
        <w:t>required at all times</w:t>
      </w:r>
      <w:proofErr w:type="gramEnd"/>
      <w:r w:rsidRPr="00370F75">
        <w:t xml:space="preserve"> in the Analytical Lab: Lab coat, safety glasses, long pants and closed toe shoes. </w:t>
      </w:r>
    </w:p>
    <w:p w14:paraId="23B5045A" w14:textId="77777777" w:rsidR="00903433" w:rsidRDefault="00CF58B8" w:rsidP="00903433">
      <w:pPr>
        <w:pStyle w:val="Heading2"/>
        <w:ind w:left="576" w:hanging="576"/>
      </w:pPr>
      <w:r>
        <w:t xml:space="preserve">Sample preparation for ICP usually </w:t>
      </w:r>
      <w:r w:rsidR="00953E22">
        <w:t xml:space="preserve">requires the use of </w:t>
      </w:r>
      <w:r>
        <w:t>strong acids</w:t>
      </w:r>
      <w:r w:rsidR="008D274A">
        <w:t xml:space="preserve"> such as, HNO3, HCl,</w:t>
      </w:r>
      <w:r w:rsidR="00123DC7">
        <w:t xml:space="preserve"> H</w:t>
      </w:r>
      <w:r w:rsidR="00123DC7" w:rsidRPr="00123DC7">
        <w:rPr>
          <w:vertAlign w:val="subscript"/>
        </w:rPr>
        <w:t>2</w:t>
      </w:r>
      <w:r w:rsidR="00123DC7">
        <w:t>SO</w:t>
      </w:r>
      <w:r w:rsidR="00123DC7" w:rsidRPr="00123DC7">
        <w:rPr>
          <w:vertAlign w:val="subscript"/>
        </w:rPr>
        <w:t>4</w:t>
      </w:r>
      <w:r w:rsidR="00123DC7">
        <w:t>,</w:t>
      </w:r>
      <w:r w:rsidR="008D274A">
        <w:t xml:space="preserve"> HF, </w:t>
      </w:r>
      <w:r w:rsidR="00283C37">
        <w:t xml:space="preserve">or aqua regia. </w:t>
      </w:r>
      <w:r w:rsidR="00C72D3B">
        <w:t>Always handle these materials in the designated fume hood.</w:t>
      </w:r>
    </w:p>
    <w:p w14:paraId="3A0464A1" w14:textId="75E66B73" w:rsidR="00FF3A8E" w:rsidRDefault="00B01D4D" w:rsidP="00903433">
      <w:pPr>
        <w:pStyle w:val="Heading2"/>
        <w:ind w:left="576" w:hanging="576"/>
      </w:pPr>
      <w:r>
        <w:t xml:space="preserve">A digestion block, or a muffle </w:t>
      </w:r>
      <w:r w:rsidR="00347DF5">
        <w:t xml:space="preserve">furnace </w:t>
      </w:r>
      <w:r>
        <w:t>at h</w:t>
      </w:r>
      <w:r w:rsidR="009130C3">
        <w:t>igh temperatures</w:t>
      </w:r>
      <w:r>
        <w:t xml:space="preserve"> is also </w:t>
      </w:r>
      <w:r w:rsidR="00347DF5">
        <w:t>commonly used</w:t>
      </w:r>
      <w:r w:rsidR="00875DFE">
        <w:t>. Additional PPE may be necessary when digesting samples</w:t>
      </w:r>
      <w:r w:rsidR="00E01C06">
        <w:t xml:space="preserve">. See items </w:t>
      </w:r>
      <w:r w:rsidR="005503CD">
        <w:t>below.</w:t>
      </w:r>
    </w:p>
    <w:p w14:paraId="7D756492" w14:textId="77777777" w:rsidR="00C96ECD" w:rsidRDefault="00685390" w:rsidP="009159D3">
      <w:pPr>
        <w:pStyle w:val="Heading2"/>
        <w:ind w:left="576" w:hanging="576"/>
      </w:pPr>
      <w:r>
        <w:t>Before using any chemicals in the lab</w:t>
      </w:r>
      <w:r w:rsidR="00C96ECD">
        <w:t>:</w:t>
      </w:r>
    </w:p>
    <w:p w14:paraId="5EAFECAC" w14:textId="2A460D8E" w:rsidR="004B237E" w:rsidRDefault="00C96ECD" w:rsidP="00BA63F9">
      <w:pPr>
        <w:pStyle w:val="Heading3"/>
        <w:numPr>
          <w:ilvl w:val="0"/>
          <w:numId w:val="8"/>
        </w:numPr>
      </w:pPr>
      <w:r>
        <w:t>C</w:t>
      </w:r>
      <w:r w:rsidR="00685390" w:rsidRPr="00685390">
        <w:t xml:space="preserve">onsult the manufacturer’s Safety Data Sheet </w:t>
      </w:r>
      <w:r w:rsidR="00685390">
        <w:t>(SDS).</w:t>
      </w:r>
      <w:r>
        <w:t xml:space="preserve"> </w:t>
      </w:r>
    </w:p>
    <w:p w14:paraId="5C82C0F3" w14:textId="762C8549" w:rsidR="00C96ECD" w:rsidRDefault="00C96ECD" w:rsidP="00BA63F9">
      <w:pPr>
        <w:pStyle w:val="Heading3"/>
        <w:numPr>
          <w:ilvl w:val="0"/>
          <w:numId w:val="8"/>
        </w:numPr>
      </w:pPr>
      <w:r w:rsidRPr="00C96ECD">
        <w:t>Locate nearest eyewash and shower and confirm that they are accessible and</w:t>
      </w:r>
      <w:r>
        <w:t xml:space="preserve"> working.</w:t>
      </w:r>
      <w:r w:rsidR="00CA6C6B">
        <w:t xml:space="preserve"> Locate the </w:t>
      </w:r>
      <w:r w:rsidR="003153AE">
        <w:t xml:space="preserve">first aid kit and </w:t>
      </w:r>
      <w:r w:rsidR="00CA6C6B">
        <w:t xml:space="preserve">spill kit and make sure </w:t>
      </w:r>
      <w:r w:rsidR="003153AE">
        <w:t>they are</w:t>
      </w:r>
      <w:r w:rsidR="00726271">
        <w:t xml:space="preserve"> stocked.</w:t>
      </w:r>
    </w:p>
    <w:p w14:paraId="6E139565" w14:textId="081C6143" w:rsidR="004B6F34" w:rsidRDefault="004B6F34" w:rsidP="00BA63F9">
      <w:pPr>
        <w:pStyle w:val="Heading3"/>
        <w:numPr>
          <w:ilvl w:val="0"/>
          <w:numId w:val="8"/>
        </w:numPr>
      </w:pPr>
      <w:r>
        <w:t xml:space="preserve">Plan how to dispose the chemical waste. </w:t>
      </w:r>
      <w:r w:rsidR="007A3AEE">
        <w:t xml:space="preserve"> Check the Safety Office website for guidance.</w:t>
      </w:r>
    </w:p>
    <w:p w14:paraId="43CBECBB" w14:textId="67007921" w:rsidR="007A3AEE" w:rsidRDefault="003153AE" w:rsidP="00BA63F9">
      <w:pPr>
        <w:pStyle w:val="Heading3"/>
        <w:numPr>
          <w:ilvl w:val="0"/>
          <w:numId w:val="0"/>
        </w:numPr>
        <w:ind w:left="720"/>
      </w:pPr>
      <w:hyperlink r:id="rId12" w:history="1">
        <w:r w:rsidRPr="00F93B56">
          <w:rPr>
            <w:rStyle w:val="Hyperlink"/>
          </w:rPr>
          <w:t>https://uwaterloo.ca/safety-office/laboratory-safety/hazardous-waste-standard</w:t>
        </w:r>
      </w:hyperlink>
      <w:r w:rsidR="003C57D2">
        <w:t xml:space="preserve"> </w:t>
      </w:r>
    </w:p>
    <w:p w14:paraId="3A38F030" w14:textId="77777777" w:rsidR="00465D2E" w:rsidRDefault="002B6534" w:rsidP="009159D3">
      <w:pPr>
        <w:pStyle w:val="Heading2"/>
        <w:ind w:left="576" w:hanging="576"/>
        <w:rPr>
          <w:b/>
          <w:bCs/>
        </w:rPr>
      </w:pPr>
      <w:r w:rsidRPr="008206FB">
        <w:rPr>
          <w:b/>
          <w:bCs/>
        </w:rPr>
        <w:t>Aqua regia</w:t>
      </w:r>
      <w:r w:rsidR="00FF3A8E" w:rsidRPr="008206FB">
        <w:rPr>
          <w:b/>
          <w:bCs/>
        </w:rPr>
        <w:t>:</w:t>
      </w:r>
    </w:p>
    <w:p w14:paraId="0DEE9B51" w14:textId="0FD80F12" w:rsidR="000A2C37" w:rsidRPr="00F37BFD" w:rsidRDefault="00465D2E" w:rsidP="00CE1D78">
      <w:pPr>
        <w:pStyle w:val="Heading3"/>
        <w:rPr>
          <w:lang w:val="en-US"/>
        </w:rPr>
      </w:pPr>
      <w:r>
        <w:t>Aqua regia</w:t>
      </w:r>
      <w:r w:rsidR="00B456DD">
        <w:t xml:space="preserve"> </w:t>
      </w:r>
      <w:r w:rsidR="00B456DD" w:rsidRPr="00B456DD">
        <w:t>is a mixture of nitric acid and hydrochloric acid, optimally in a molar ratio of 1:3</w:t>
      </w:r>
      <w:r w:rsidR="009D0302">
        <w:t xml:space="preserve">. </w:t>
      </w:r>
      <w:r w:rsidR="00CE1AC1" w:rsidRPr="00CE1AC1">
        <w:t>The most common Aqua Regia is a 1:3 (v/v) mixture of concentrated nitric acid (HNO3, ≤70%) and hydrochloric acid (HCl, ≤37%).  Aqua Regia will decompose after mixing.  The expected gaseous products include nitrosyl chloride (</w:t>
      </w:r>
      <w:proofErr w:type="spellStart"/>
      <w:r w:rsidR="00CE1AC1" w:rsidRPr="00CE1AC1">
        <w:t>NOCl</w:t>
      </w:r>
      <w:proofErr w:type="spellEnd"/>
      <w:r w:rsidR="00CE1AC1" w:rsidRPr="00CE1AC1">
        <w:t>), chlorine (Cl2), nitric oxide (NO), and nitrogen dioxide (NO2).  These gases are acutely toxic inhalation hazards. Gas evolution may also lead to a build-up of pressure that could cause a sealed container to fail catastrophically.</w:t>
      </w:r>
    </w:p>
    <w:p w14:paraId="355671AB" w14:textId="3A342698" w:rsidR="008206FB" w:rsidRDefault="00FE5EC5" w:rsidP="00876EDC">
      <w:pPr>
        <w:pStyle w:val="Heading3"/>
      </w:pPr>
      <w:r>
        <w:t>A s</w:t>
      </w:r>
      <w:r w:rsidR="008206FB">
        <w:t xml:space="preserve">olution of aqua regia </w:t>
      </w:r>
      <w:r>
        <w:t>is</w:t>
      </w:r>
      <w:r w:rsidR="008206FB">
        <w:t xml:space="preserve"> very hazardous as </w:t>
      </w:r>
      <w:r>
        <w:t xml:space="preserve">it is </w:t>
      </w:r>
      <w:r w:rsidR="008206FB">
        <w:t xml:space="preserve">extremely corrosive and oxidizing and may result in </w:t>
      </w:r>
      <w:r w:rsidR="00967D54">
        <w:t xml:space="preserve">severe harm or </w:t>
      </w:r>
      <w:r w:rsidR="008206FB">
        <w:t>explosions if not handled properly.</w:t>
      </w:r>
      <w:r w:rsidR="00876EDC">
        <w:t xml:space="preserve"> </w:t>
      </w:r>
      <w:r w:rsidR="008206FB">
        <w:t xml:space="preserve"> </w:t>
      </w:r>
      <w:r w:rsidR="00876EDC">
        <w:t>This solution can burn eye tissue or skin if exposed, destroy the mucous membrane and upper</w:t>
      </w:r>
      <w:r w:rsidR="007C79EA">
        <w:t xml:space="preserve"> </w:t>
      </w:r>
      <w:r w:rsidR="00876EDC">
        <w:t>respiratory tract tissue if inhaled, and burn organs if ingested. In addition to health hazards,</w:t>
      </w:r>
      <w:r w:rsidR="007C79EA">
        <w:t xml:space="preserve"> </w:t>
      </w:r>
      <w:r w:rsidR="00876EDC">
        <w:t xml:space="preserve">aqua regia can pose explosive risks when contacting organics, as it is a strong oxidizer. </w:t>
      </w:r>
      <w:r w:rsidR="00967D54">
        <w:t>D</w:t>
      </w:r>
      <w:r w:rsidR="00967D54" w:rsidRPr="00967D54">
        <w:t xml:space="preserve">issolving of metals in this solution can also release </w:t>
      </w:r>
      <w:r w:rsidR="00FF4357">
        <w:t xml:space="preserve">additional </w:t>
      </w:r>
      <w:r w:rsidR="00967D54" w:rsidRPr="00967D54">
        <w:t>toxic or flammable gases</w:t>
      </w:r>
      <w:r w:rsidR="00967D54">
        <w:t>.</w:t>
      </w:r>
    </w:p>
    <w:p w14:paraId="2A9DFBAF" w14:textId="358D0872" w:rsidR="00E30162" w:rsidRDefault="00325FDF" w:rsidP="008206FB">
      <w:pPr>
        <w:pStyle w:val="Heading3"/>
      </w:pPr>
      <w:r>
        <w:lastRenderedPageBreak/>
        <w:t>Handling procedure:</w:t>
      </w:r>
    </w:p>
    <w:p w14:paraId="5B5A503D" w14:textId="719397E6" w:rsidR="004975D1" w:rsidRDefault="004975D1" w:rsidP="00FC502A">
      <w:pPr>
        <w:pStyle w:val="ListParagraph"/>
        <w:numPr>
          <w:ilvl w:val="0"/>
          <w:numId w:val="7"/>
        </w:numPr>
      </w:pPr>
      <w:r>
        <w:t xml:space="preserve">Handling aqua regia is not allowed when working alone. </w:t>
      </w:r>
    </w:p>
    <w:p w14:paraId="13C7658D" w14:textId="13B04857" w:rsidR="001653DB" w:rsidRDefault="001653DB" w:rsidP="00FC502A">
      <w:pPr>
        <w:pStyle w:val="ListParagraph"/>
        <w:numPr>
          <w:ilvl w:val="0"/>
          <w:numId w:val="7"/>
        </w:numPr>
      </w:pPr>
      <w:r>
        <w:t>In addition to regular lab attire</w:t>
      </w:r>
      <w:r w:rsidR="00957D7D">
        <w:t xml:space="preserve"> described in item </w:t>
      </w:r>
      <w:r w:rsidR="00F9261A">
        <w:t>4.1</w:t>
      </w:r>
      <w:r w:rsidR="009A5D1A">
        <w:t xml:space="preserve">, </w:t>
      </w:r>
      <w:r w:rsidR="004D3F62">
        <w:t xml:space="preserve">heavy-duty </w:t>
      </w:r>
      <w:r w:rsidR="00524A47">
        <w:t>PVC</w:t>
      </w:r>
      <w:r w:rsidR="008C72FB">
        <w:t xml:space="preserve"> or nitrile</w:t>
      </w:r>
      <w:r w:rsidR="00524A47">
        <w:t xml:space="preserve"> gloves, </w:t>
      </w:r>
      <w:r w:rsidR="009A5D1A">
        <w:t>PVC apron</w:t>
      </w:r>
      <w:r w:rsidR="006774A5">
        <w:t xml:space="preserve">, </w:t>
      </w:r>
      <w:r w:rsidR="00524A47">
        <w:t xml:space="preserve">and face-shield </w:t>
      </w:r>
      <w:r w:rsidR="00181931">
        <w:t xml:space="preserve">are recommended when using aqua regia. Latex gloves are not compatible with </w:t>
      </w:r>
      <w:r w:rsidR="008C72FB">
        <w:t>aqua regia.</w:t>
      </w:r>
    </w:p>
    <w:p w14:paraId="791367A0" w14:textId="2F01BDEE" w:rsidR="0096512D" w:rsidRDefault="0096512D" w:rsidP="00FC502A">
      <w:pPr>
        <w:pStyle w:val="ListParagraph"/>
        <w:numPr>
          <w:ilvl w:val="0"/>
          <w:numId w:val="7"/>
        </w:numPr>
      </w:pPr>
      <w:bookmarkStart w:id="3" w:name="_Hlk97890150"/>
      <w:r>
        <w:t>All work involving aqua regia solution should be conducted inside a designated fume hood (left fume hood in E6-3107).</w:t>
      </w:r>
      <w:r w:rsidR="00184F00" w:rsidRPr="00184F00">
        <w:t xml:space="preserve"> </w:t>
      </w:r>
      <w:r w:rsidR="00184F00">
        <w:t>Proper sash height must be used to provide splash protection and proper ventilation throughout the experiment</w:t>
      </w:r>
    </w:p>
    <w:bookmarkEnd w:id="3"/>
    <w:p w14:paraId="4990490F" w14:textId="17E30F44" w:rsidR="00B5482A" w:rsidRDefault="00E040DA" w:rsidP="00FC502A">
      <w:pPr>
        <w:pStyle w:val="ListParagraph"/>
        <w:numPr>
          <w:ilvl w:val="0"/>
          <w:numId w:val="7"/>
        </w:numPr>
      </w:pPr>
      <w:r w:rsidRPr="00F37BFD">
        <w:t>In general, a</w:t>
      </w:r>
      <w:r w:rsidR="00B5482A" w:rsidRPr="00F37BFD">
        <w:t xml:space="preserve">qua regia solution should be </w:t>
      </w:r>
      <w:r w:rsidR="002B5E30" w:rsidRPr="00F37BFD">
        <w:t xml:space="preserve">prepared </w:t>
      </w:r>
      <w:r w:rsidR="00B5482A" w:rsidRPr="00F37BFD">
        <w:t>in glass containers</w:t>
      </w:r>
      <w:r w:rsidR="0021363D" w:rsidRPr="00F37BFD">
        <w:t xml:space="preserve"> only</w:t>
      </w:r>
      <w:r w:rsidR="001D0F73" w:rsidRPr="00F37BFD">
        <w:t xml:space="preserve">, as </w:t>
      </w:r>
      <w:r w:rsidR="005C7E5B" w:rsidRPr="00F37BFD">
        <w:t>the reaction between HCl and HNO</w:t>
      </w:r>
      <w:r w:rsidR="005C7E5B" w:rsidRPr="00F37BFD">
        <w:rPr>
          <w:vertAlign w:val="subscript"/>
        </w:rPr>
        <w:t>3</w:t>
      </w:r>
      <w:r w:rsidR="005C7E5B" w:rsidRPr="00F37BFD">
        <w:t xml:space="preserve"> is very exothermic</w:t>
      </w:r>
      <w:r w:rsidR="00970014" w:rsidRPr="00F37BFD">
        <w:t xml:space="preserve"> and may heat up to temperatures </w:t>
      </w:r>
      <w:proofErr w:type="gramStart"/>
      <w:r w:rsidR="00970014" w:rsidRPr="00F37BFD">
        <w:t>in excess of</w:t>
      </w:r>
      <w:proofErr w:type="gramEnd"/>
      <w:r w:rsidR="00970014" w:rsidRPr="00F37BFD">
        <w:t xml:space="preserve"> 100°C. </w:t>
      </w:r>
      <w:r w:rsidR="004649A6" w:rsidRPr="00F37BFD">
        <w:t>However</w:t>
      </w:r>
      <w:r w:rsidR="004649A6">
        <w:t xml:space="preserve">, </w:t>
      </w:r>
      <w:r w:rsidR="00A46171">
        <w:t xml:space="preserve">aqua regia can be prepared </w:t>
      </w:r>
      <w:r w:rsidR="003F1493">
        <w:t xml:space="preserve">in small volumes (&lt; 4mL) </w:t>
      </w:r>
      <w:r w:rsidR="00A46171">
        <w:t>directly in plastic digestion tubes</w:t>
      </w:r>
      <w:r w:rsidR="003F1493">
        <w:t>.</w:t>
      </w:r>
      <w:r w:rsidR="00A46171">
        <w:t xml:space="preserve"> </w:t>
      </w:r>
      <w:r w:rsidR="00B0721A" w:rsidRPr="00A80870">
        <w:t xml:space="preserve">Do not seal containers containing </w:t>
      </w:r>
      <w:r w:rsidR="00B0721A">
        <w:t>a</w:t>
      </w:r>
      <w:r w:rsidR="00B0721A" w:rsidRPr="00A80870">
        <w:t>qua regia solution</w:t>
      </w:r>
      <w:r w:rsidR="00B0721A">
        <w:t>, as it evolves gases and can lead to explosion of the containers.</w:t>
      </w:r>
      <w:r w:rsidR="00A8073D">
        <w:t xml:space="preserve"> </w:t>
      </w:r>
    </w:p>
    <w:p w14:paraId="3742CA1A" w14:textId="77777777" w:rsidR="00DF6599" w:rsidRDefault="00DF6599" w:rsidP="00FC502A">
      <w:pPr>
        <w:pStyle w:val="ListParagraph"/>
        <w:numPr>
          <w:ilvl w:val="0"/>
          <w:numId w:val="7"/>
        </w:numPr>
      </w:pPr>
      <w:r>
        <w:t>Use and produce only the smallest amount necessary for the experiment being conducted. Aqua regia must be prepared fresh for every use, so only the minimum amount should be made each time.</w:t>
      </w:r>
      <w:r w:rsidRPr="00082B09">
        <w:t xml:space="preserve"> </w:t>
      </w:r>
      <w:r>
        <w:t xml:space="preserve">It is not safe to </w:t>
      </w:r>
      <w:r w:rsidRPr="00082B09">
        <w:t>store Aqua Regia solution</w:t>
      </w:r>
      <w:r>
        <w:t xml:space="preserve">, since the container cannot be capped. </w:t>
      </w:r>
    </w:p>
    <w:p w14:paraId="2048BF7B" w14:textId="05E124D6" w:rsidR="00B27D84" w:rsidRDefault="00BC4AF1" w:rsidP="00FC502A">
      <w:pPr>
        <w:pStyle w:val="ListParagraph"/>
        <w:numPr>
          <w:ilvl w:val="0"/>
          <w:numId w:val="7"/>
        </w:numPr>
      </w:pPr>
      <w:r w:rsidRPr="00BC4AF1">
        <w:t>Always add nitric acid (HNO</w:t>
      </w:r>
      <w:r w:rsidRPr="00FC502A">
        <w:rPr>
          <w:vertAlign w:val="subscript"/>
        </w:rPr>
        <w:t>3</w:t>
      </w:r>
      <w:r w:rsidRPr="00BC4AF1">
        <w:t>) to hydrochloric acid (HCl), never vice versa.  Perform the addition slowly to prevent uncontrolled boiling and potential splashing</w:t>
      </w:r>
      <w:r w:rsidR="006379F3">
        <w:t>.</w:t>
      </w:r>
    </w:p>
    <w:p w14:paraId="7E89E03E" w14:textId="5AA6FA2C" w:rsidR="00325FDF" w:rsidRDefault="00CB730D" w:rsidP="00FC502A">
      <w:pPr>
        <w:pStyle w:val="ListParagraph"/>
        <w:numPr>
          <w:ilvl w:val="0"/>
          <w:numId w:val="7"/>
        </w:numPr>
      </w:pPr>
      <w:r>
        <w:t>Aqua regia</w:t>
      </w:r>
      <w:r w:rsidR="00001A46">
        <w:t xml:space="preserve"> solutions must be diluted</w:t>
      </w:r>
      <w:r w:rsidR="00BA3F1F">
        <w:t xml:space="preserve"> with water before disposal</w:t>
      </w:r>
      <w:r w:rsidR="00184A3B">
        <w:t xml:space="preserve">. Slowly add the </w:t>
      </w:r>
      <w:r w:rsidR="005D0C73">
        <w:t xml:space="preserve">aqua regia solution to </w:t>
      </w:r>
      <w:r w:rsidR="002D08C8">
        <w:t xml:space="preserve">a volume of water </w:t>
      </w:r>
      <w:r w:rsidR="00001A46">
        <w:t>at least 10 times</w:t>
      </w:r>
      <w:r w:rsidR="00B140E9">
        <w:t xml:space="preserve"> the original quanti</w:t>
      </w:r>
      <w:r w:rsidR="000456DB">
        <w:t>ty of aqua regia solution</w:t>
      </w:r>
      <w:r w:rsidR="0096512D">
        <w:t>.</w:t>
      </w:r>
      <w:r w:rsidR="000456DB">
        <w:t xml:space="preserve"> At this point the solution can be transferred to </w:t>
      </w:r>
      <w:r w:rsidR="00DE2899">
        <w:t xml:space="preserve">the vented </w:t>
      </w:r>
      <w:r w:rsidR="004F3407">
        <w:t>waste container labeled ICP waste in the analytical lab</w:t>
      </w:r>
      <w:r w:rsidR="00DE2899">
        <w:t>.</w:t>
      </w:r>
    </w:p>
    <w:p w14:paraId="0CE7F519" w14:textId="04D07486" w:rsidR="00551C25" w:rsidRDefault="00551C25" w:rsidP="009159D3">
      <w:pPr>
        <w:pStyle w:val="Heading2"/>
        <w:ind w:left="576" w:hanging="576"/>
        <w:rPr>
          <w:b/>
          <w:bCs/>
        </w:rPr>
      </w:pPr>
      <w:r w:rsidRPr="00724727">
        <w:rPr>
          <w:b/>
          <w:bCs/>
        </w:rPr>
        <w:t>Hydrofluoric acid:</w:t>
      </w:r>
    </w:p>
    <w:p w14:paraId="03A98D28" w14:textId="36815021" w:rsidR="00231F5D" w:rsidRDefault="00231F5D" w:rsidP="00231F5D">
      <w:pPr>
        <w:pStyle w:val="Heading3"/>
      </w:pPr>
      <w:r w:rsidRPr="00231F5D">
        <w:t>Hydrofluoric acid is a solution of hydrogen fluoride (HF) in water. Solutions of HF are colourless, acidic and highly corrosive.</w:t>
      </w:r>
      <w:r w:rsidR="002908A4" w:rsidRPr="002908A4">
        <w:t xml:space="preserve"> In addition to being a highly corrosive liquid, hydrofluoric acid is also a powerful contact poison. Because of the ability of hydrofluoric acid to penetrate tissue, poisoning can occur readily through exposure of skin or eyes, or when inhaled or swallowed. Symptoms of exposure to hydrofluoric acid may not be immediately evident, and this can provide false reassurance to victims, causing them to delay medical treatment. Despite having an irritating odor, HF may reach dangerous levels without an obvious odor. HF interferes with nerve function, meaning that burns may not initially be painful. Accidental exposures can go unnoticed, delaying treatment and increasing the extent and seriousness of the injury</w:t>
      </w:r>
      <w:r w:rsidR="00CE3325">
        <w:t>.</w:t>
      </w:r>
    </w:p>
    <w:p w14:paraId="04809440" w14:textId="77777777" w:rsidR="00CE3325" w:rsidRDefault="00CE3325" w:rsidP="00CE3325">
      <w:pPr>
        <w:pStyle w:val="Heading3"/>
      </w:pPr>
      <w:r>
        <w:t>Handling procedure:</w:t>
      </w:r>
    </w:p>
    <w:p w14:paraId="3B950F73" w14:textId="01EE5AC7" w:rsidR="00756D8B" w:rsidRDefault="00756D8B" w:rsidP="00756D8B">
      <w:pPr>
        <w:pStyle w:val="ListParagraph"/>
        <w:numPr>
          <w:ilvl w:val="0"/>
          <w:numId w:val="7"/>
        </w:numPr>
      </w:pPr>
      <w:r>
        <w:t xml:space="preserve">Handling </w:t>
      </w:r>
      <w:r w:rsidRPr="00756D8B">
        <w:t xml:space="preserve">Hydrofluoric acid </w:t>
      </w:r>
      <w:r>
        <w:t xml:space="preserve">is not allowed when working alone. </w:t>
      </w:r>
    </w:p>
    <w:p w14:paraId="1C9F43C2" w14:textId="7DB1DA90" w:rsidR="00AE5241" w:rsidRDefault="00F469EF" w:rsidP="00BE54A5">
      <w:pPr>
        <w:pStyle w:val="ListParagraph"/>
        <w:numPr>
          <w:ilvl w:val="0"/>
          <w:numId w:val="7"/>
        </w:numPr>
      </w:pPr>
      <w:r>
        <w:t xml:space="preserve">Before </w:t>
      </w:r>
      <w:r w:rsidR="00DC1368">
        <w:t xml:space="preserve">using HF solutions, make sure the </w:t>
      </w:r>
      <w:r w:rsidR="00BE54A5">
        <w:t>HF specific first aid kit which includes 2.5% calcium gluconate gel</w:t>
      </w:r>
      <w:r w:rsidR="00172F84">
        <w:t xml:space="preserve"> is available and not expired. The kit </w:t>
      </w:r>
      <w:r w:rsidR="0074173F">
        <w:t>is in</w:t>
      </w:r>
      <w:r w:rsidR="006722D6">
        <w:t xml:space="preserve"> a drawer </w:t>
      </w:r>
      <w:r w:rsidR="0074173F">
        <w:t xml:space="preserve">under </w:t>
      </w:r>
      <w:r w:rsidR="006722D6">
        <w:t xml:space="preserve">the balance bench in </w:t>
      </w:r>
      <w:r w:rsidR="00DB0493">
        <w:t>E6-3107.</w:t>
      </w:r>
      <w:r w:rsidR="00BE54A5">
        <w:t xml:space="preserve"> </w:t>
      </w:r>
      <w:r w:rsidR="00EE5001">
        <w:t xml:space="preserve"> Calcium </w:t>
      </w:r>
      <w:r w:rsidR="00FB209B">
        <w:t xml:space="preserve">is used to treat HF burns and it </w:t>
      </w:r>
      <w:r w:rsidR="00462123">
        <w:t xml:space="preserve">can be </w:t>
      </w:r>
      <w:r w:rsidR="00211878">
        <w:t xml:space="preserve">applied </w:t>
      </w:r>
      <w:r w:rsidR="00975719">
        <w:t xml:space="preserve">in the skin </w:t>
      </w:r>
      <w:r w:rsidR="00462123">
        <w:t xml:space="preserve">after rinsing the </w:t>
      </w:r>
      <w:r w:rsidR="005F2F18">
        <w:t xml:space="preserve">exposed area </w:t>
      </w:r>
      <w:r w:rsidR="0074442B">
        <w:t xml:space="preserve">with water for </w:t>
      </w:r>
      <w:r w:rsidR="009D7519">
        <w:t xml:space="preserve">several minutes. </w:t>
      </w:r>
      <w:r w:rsidR="00EE5001">
        <w:t xml:space="preserve"> </w:t>
      </w:r>
    </w:p>
    <w:p w14:paraId="301D354C" w14:textId="5E0E5C02" w:rsidR="00756D8B" w:rsidRDefault="00084EDC" w:rsidP="00756D8B">
      <w:pPr>
        <w:pStyle w:val="ListParagraph"/>
        <w:numPr>
          <w:ilvl w:val="0"/>
          <w:numId w:val="7"/>
        </w:numPr>
      </w:pPr>
      <w:r>
        <w:t xml:space="preserve">In addition to regular lab attire described in item 4.1, heavy-duty PVC or nitrile gloves, PVC apron, and face-shield are recommended when using </w:t>
      </w:r>
      <w:r w:rsidR="00730561">
        <w:t>dilute solutions of HF</w:t>
      </w:r>
      <w:r>
        <w:t>.</w:t>
      </w:r>
      <w:r w:rsidR="00730561">
        <w:t xml:space="preserve"> When handling concentrated solutions</w:t>
      </w:r>
      <w:r w:rsidR="004D455E">
        <w:t xml:space="preserve">, </w:t>
      </w:r>
      <w:r w:rsidR="00241101">
        <w:t xml:space="preserve">e.g. </w:t>
      </w:r>
      <w:r w:rsidR="00730561">
        <w:t>dispensing concentrated HF in digestion tubes</w:t>
      </w:r>
      <w:r w:rsidR="00241101">
        <w:t xml:space="preserve">, use </w:t>
      </w:r>
      <w:r w:rsidR="00702EB3">
        <w:t>Viton</w:t>
      </w:r>
      <w:r w:rsidR="004D455E">
        <w:t xml:space="preserve">/butyl rubber gloves </w:t>
      </w:r>
      <w:r w:rsidR="006C35DA">
        <w:t>(available in the analytical lab).</w:t>
      </w:r>
    </w:p>
    <w:p w14:paraId="0B9BF4E4" w14:textId="66D72303" w:rsidR="00053E44" w:rsidRDefault="00053E44" w:rsidP="00053E44">
      <w:pPr>
        <w:pStyle w:val="ListParagraph"/>
        <w:numPr>
          <w:ilvl w:val="0"/>
          <w:numId w:val="7"/>
        </w:numPr>
      </w:pPr>
      <w:r w:rsidRPr="00053E44">
        <w:t xml:space="preserve">All work involving </w:t>
      </w:r>
      <w:r>
        <w:t xml:space="preserve">HF </w:t>
      </w:r>
      <w:r w:rsidRPr="00053E44">
        <w:t>solution should be conducted inside a designated fume hood (left fume hood in E6-3107). Proper sash height must be used to provide splash protection and proper ventilation throughout the experiment</w:t>
      </w:r>
      <w:r w:rsidR="00600FBB">
        <w:t>.</w:t>
      </w:r>
    </w:p>
    <w:p w14:paraId="66671D07" w14:textId="55E89CB8" w:rsidR="00600FBB" w:rsidRPr="00053E44" w:rsidRDefault="00600FBB" w:rsidP="00053E44">
      <w:pPr>
        <w:pStyle w:val="ListParagraph"/>
        <w:numPr>
          <w:ilvl w:val="0"/>
          <w:numId w:val="7"/>
        </w:numPr>
      </w:pPr>
      <w:r>
        <w:lastRenderedPageBreak/>
        <w:t>Alw</w:t>
      </w:r>
      <w:r w:rsidR="008734D9">
        <w:t xml:space="preserve">ays use the HF dispenser to minimize the risk of spills/contamination. </w:t>
      </w:r>
      <w:r w:rsidR="00814B73">
        <w:t xml:space="preserve">In case of a small spill (&lt; 500 mL), neutralize the HF solution with </w:t>
      </w:r>
      <w:r w:rsidR="00C73A01">
        <w:t>sodium carbonate</w:t>
      </w:r>
      <w:r w:rsidR="003F2747">
        <w:t xml:space="preserve"> powder before cleaning up.</w:t>
      </w:r>
    </w:p>
    <w:p w14:paraId="4AEEB67E" w14:textId="6BFD4293" w:rsidR="00681162" w:rsidRDefault="006E3E79" w:rsidP="00681162">
      <w:pPr>
        <w:pStyle w:val="ListParagraph"/>
        <w:numPr>
          <w:ilvl w:val="0"/>
          <w:numId w:val="7"/>
        </w:numPr>
      </w:pPr>
      <w:r>
        <w:t xml:space="preserve">Samples containing </w:t>
      </w:r>
      <w:r w:rsidR="00681162">
        <w:t xml:space="preserve">HF </w:t>
      </w:r>
      <w:r w:rsidR="00681162" w:rsidRPr="00681162">
        <w:t xml:space="preserve">solutions </w:t>
      </w:r>
      <w:r w:rsidR="008114EC">
        <w:t>can be</w:t>
      </w:r>
      <w:r>
        <w:t xml:space="preserve"> disposed </w:t>
      </w:r>
      <w:r w:rsidR="00187FC0">
        <w:t xml:space="preserve">in the </w:t>
      </w:r>
      <w:r w:rsidR="00681162" w:rsidRPr="00681162">
        <w:t>vented waste container labeled ICP waste in the analytical lab.</w:t>
      </w:r>
    </w:p>
    <w:p w14:paraId="0659129E" w14:textId="5DBDB74B" w:rsidR="00F92858" w:rsidRDefault="00F92858" w:rsidP="00F92858">
      <w:pPr>
        <w:pStyle w:val="Heading2"/>
        <w:ind w:left="576" w:hanging="576"/>
        <w:rPr>
          <w:b/>
          <w:bCs/>
        </w:rPr>
      </w:pPr>
      <w:r>
        <w:rPr>
          <w:b/>
          <w:bCs/>
        </w:rPr>
        <w:t xml:space="preserve">Muffle </w:t>
      </w:r>
      <w:r w:rsidR="00725BD0">
        <w:rPr>
          <w:b/>
          <w:bCs/>
        </w:rPr>
        <w:t>Furnace</w:t>
      </w:r>
      <w:r w:rsidR="006B3A92">
        <w:rPr>
          <w:b/>
          <w:bCs/>
        </w:rPr>
        <w:t xml:space="preserve"> and </w:t>
      </w:r>
      <w:r w:rsidR="008F5346">
        <w:rPr>
          <w:b/>
          <w:bCs/>
        </w:rPr>
        <w:t>Digestion block</w:t>
      </w:r>
    </w:p>
    <w:p w14:paraId="158E302E" w14:textId="659D340A" w:rsidR="00725BD0" w:rsidRPr="00992E04" w:rsidRDefault="00C74087" w:rsidP="00725BD0">
      <w:pPr>
        <w:pStyle w:val="Heading3"/>
      </w:pPr>
      <w:r w:rsidRPr="00C74087">
        <w:t>Use of the muffle furnace</w:t>
      </w:r>
      <w:r>
        <w:t xml:space="preserve"> and digestion block</w:t>
      </w:r>
      <w:r w:rsidRPr="00C74087">
        <w:t xml:space="preserve"> inherently involves very hot temperatures. </w:t>
      </w:r>
      <w:r w:rsidR="00AF0416">
        <w:t>Preferentially, u</w:t>
      </w:r>
      <w:r w:rsidR="00C36CAF">
        <w:t xml:space="preserve">sers should </w:t>
      </w:r>
      <w:r w:rsidR="00AF0416">
        <w:t xml:space="preserve">load </w:t>
      </w:r>
      <w:r w:rsidR="009C4E7B">
        <w:t xml:space="preserve">and unload </w:t>
      </w:r>
      <w:r w:rsidR="00AF0416">
        <w:t xml:space="preserve">samples in the muffle furnace or digestion block </w:t>
      </w:r>
      <w:r w:rsidR="00E95D6B">
        <w:t>before heating up and after cooling down</w:t>
      </w:r>
      <w:r w:rsidR="00A7754F">
        <w:t>. In case</w:t>
      </w:r>
      <w:r w:rsidR="00E95D6B">
        <w:t xml:space="preserve">s where </w:t>
      </w:r>
      <w:r w:rsidR="002D48AB">
        <w:t>these procedures</w:t>
      </w:r>
      <w:r w:rsidR="00F43276">
        <w:t xml:space="preserve"> are not feasible, u</w:t>
      </w:r>
      <w:r w:rsidRPr="00C74087">
        <w:t>sers should wear protective gloves</w:t>
      </w:r>
      <w:r w:rsidR="000E70C6">
        <w:t xml:space="preserve"> </w:t>
      </w:r>
      <w:r w:rsidR="00EC061F">
        <w:t xml:space="preserve">and use lab tongs </w:t>
      </w:r>
      <w:r w:rsidR="00C36CAF">
        <w:t xml:space="preserve">when </w:t>
      </w:r>
      <w:r w:rsidR="00F43276">
        <w:t xml:space="preserve">manipulating hot </w:t>
      </w:r>
      <w:r w:rsidR="00F43276" w:rsidRPr="00992E04">
        <w:t>objects.</w:t>
      </w:r>
      <w:r w:rsidR="00CB74C7">
        <w:t xml:space="preserve"> Please refer to the Muffle Furnace SOP for details on its proper operation.</w:t>
      </w:r>
    </w:p>
    <w:p w14:paraId="6798CCA9" w14:textId="7F80CD17" w:rsidR="002D48AB" w:rsidRDefault="00235048" w:rsidP="00725BD0">
      <w:pPr>
        <w:pStyle w:val="Heading3"/>
      </w:pPr>
      <w:r w:rsidRPr="00992E04">
        <w:t xml:space="preserve">Make sure the temperature </w:t>
      </w:r>
      <w:r w:rsidR="00041EAB" w:rsidRPr="00992E04">
        <w:t xml:space="preserve">used is compatible with the </w:t>
      </w:r>
      <w:r w:rsidRPr="00992E04">
        <w:t xml:space="preserve">melting point of </w:t>
      </w:r>
      <w:r w:rsidR="000E712B" w:rsidRPr="00992E04">
        <w:t xml:space="preserve">the materials added to these pieces of equipment. </w:t>
      </w:r>
      <w:r w:rsidR="002D48AB" w:rsidRPr="00992E04">
        <w:t>The digestion block</w:t>
      </w:r>
      <w:r w:rsidR="008A0347" w:rsidRPr="00992E04">
        <w:t xml:space="preserve"> should be </w:t>
      </w:r>
      <w:r w:rsidR="002D48AB" w:rsidRPr="00992E04">
        <w:t>set to 95ºC</w:t>
      </w:r>
      <w:r w:rsidR="008A0347" w:rsidRPr="00992E04">
        <w:t xml:space="preserve"> to avoid </w:t>
      </w:r>
      <w:r w:rsidR="007F5DDF" w:rsidRPr="00992E04">
        <w:t>boiling of the aqueous solution during digestion.</w:t>
      </w:r>
    </w:p>
    <w:p w14:paraId="4249BE68" w14:textId="743EDD40" w:rsidR="00616140" w:rsidRDefault="00616140" w:rsidP="007C6ADA">
      <w:pPr>
        <w:pStyle w:val="Heading1"/>
      </w:pPr>
      <w:r>
        <w:t xml:space="preserve">CONSIDERATIONS FOR SAMPLE PREPARATION </w:t>
      </w:r>
    </w:p>
    <w:p w14:paraId="5DAA78AB" w14:textId="77777777" w:rsidR="00CF3AC7" w:rsidRPr="00D2461A" w:rsidRDefault="00CB737B" w:rsidP="002A058C">
      <w:pPr>
        <w:pStyle w:val="Heading2"/>
      </w:pPr>
      <w:r w:rsidRPr="00D2461A">
        <w:t xml:space="preserve">Detection Limits and Uncertainty: </w:t>
      </w:r>
    </w:p>
    <w:p w14:paraId="63EEC7E5" w14:textId="4C84B1BB" w:rsidR="00CF3AC7" w:rsidRPr="00D2461A" w:rsidRDefault="0090251B" w:rsidP="00CF3AC7">
      <w:pPr>
        <w:pStyle w:val="Heading3"/>
      </w:pPr>
      <w:r w:rsidRPr="00D2461A">
        <w:t>ICP-OES instruments are likely to have detection limits under normal sample introduction modes that will meet or exceed the requirements</w:t>
      </w:r>
      <w:r w:rsidR="00CF3AC7" w:rsidRPr="00D2461A">
        <w:t>. However, d</w:t>
      </w:r>
      <w:r w:rsidR="00617D2F" w:rsidRPr="00D2461A">
        <w:t>ue to numerous contamination issues, the analytical blank often determines the detection limit capabilities</w:t>
      </w:r>
      <w:r w:rsidR="000640F3" w:rsidRPr="00D2461A">
        <w:t xml:space="preserve">. </w:t>
      </w:r>
      <w:r w:rsidR="009246A1" w:rsidRPr="00D2461A">
        <w:t xml:space="preserve"> </w:t>
      </w:r>
      <w:r w:rsidR="008F552A" w:rsidRPr="00D2461A">
        <w:t xml:space="preserve">Check the paper below for more details regarding </w:t>
      </w:r>
      <w:r w:rsidR="00211695" w:rsidRPr="00D2461A">
        <w:t>limit of detection (</w:t>
      </w:r>
      <w:proofErr w:type="spellStart"/>
      <w:r w:rsidR="008F552A" w:rsidRPr="00D2461A">
        <w:t>LoD</w:t>
      </w:r>
      <w:proofErr w:type="spellEnd"/>
      <w:r w:rsidR="00211695" w:rsidRPr="00D2461A">
        <w:t>) and limit of quantitation (</w:t>
      </w:r>
      <w:proofErr w:type="spellStart"/>
      <w:r w:rsidR="00211695" w:rsidRPr="00D2461A">
        <w:t>LoQ</w:t>
      </w:r>
      <w:proofErr w:type="spellEnd"/>
      <w:r w:rsidR="00211695" w:rsidRPr="00D2461A">
        <w:t>)</w:t>
      </w:r>
      <w:r w:rsidR="008F552A" w:rsidRPr="00D2461A">
        <w:t>.</w:t>
      </w:r>
    </w:p>
    <w:p w14:paraId="29B1D0D1" w14:textId="1833C5B3" w:rsidR="008F552A" w:rsidRPr="00D2461A" w:rsidRDefault="008F552A" w:rsidP="008F552A">
      <w:pPr>
        <w:pStyle w:val="Heading3"/>
        <w:numPr>
          <w:ilvl w:val="0"/>
          <w:numId w:val="0"/>
        </w:numPr>
        <w:ind w:left="720"/>
      </w:pPr>
      <w:hyperlink r:id="rId13" w:history="1">
        <w:r w:rsidRPr="00D2461A">
          <w:rPr>
            <w:rStyle w:val="Hyperlink"/>
          </w:rPr>
          <w:t>https://www.ncbi.nlm.nih.gov/pmc/articles/PMC2556583/</w:t>
        </w:r>
      </w:hyperlink>
      <w:r w:rsidRPr="00D2461A">
        <w:t xml:space="preserve"> </w:t>
      </w:r>
    </w:p>
    <w:p w14:paraId="0EDFE305" w14:textId="06DA834B" w:rsidR="00E91541" w:rsidRPr="00D2461A" w:rsidRDefault="000640F3" w:rsidP="00CF3AC7">
      <w:pPr>
        <w:pStyle w:val="Heading3"/>
      </w:pPr>
      <w:r w:rsidRPr="00D2461A">
        <w:t>The uncertainty of an analytical measurement is not limited to the measurement precision of the instrument. Rather, it is a statistical sum of the random and systematic errors that are encountered throughout the entire analytical process. The uncertainty is a combination of errors from sampling, storage, weight and volume manipulations, preparation, calibration, and measurement, during which contamination issues play a major role in trace determinations.</w:t>
      </w:r>
    </w:p>
    <w:p w14:paraId="07EB8A0C" w14:textId="2600203C" w:rsidR="0013291D" w:rsidRPr="00D2461A" w:rsidRDefault="00374C40" w:rsidP="0013291D">
      <w:pPr>
        <w:pStyle w:val="Heading2"/>
      </w:pPr>
      <w:r w:rsidRPr="00D2461A">
        <w:t xml:space="preserve">Stability of the sample and </w:t>
      </w:r>
      <w:r w:rsidR="002E00E4" w:rsidRPr="00D2461A">
        <w:t>Contaminations:</w:t>
      </w:r>
    </w:p>
    <w:p w14:paraId="7CD9084B" w14:textId="7B49CBFE" w:rsidR="004E3F7A" w:rsidRPr="00714E6A" w:rsidRDefault="006907D9" w:rsidP="00374C40">
      <w:pPr>
        <w:pStyle w:val="Heading3"/>
      </w:pPr>
      <w:r w:rsidRPr="00D2461A">
        <w:t>W</w:t>
      </w:r>
      <w:r w:rsidR="004E3F7A" w:rsidRPr="00D2461A">
        <w:t>hen considering the stability of solutions at the part-per-million (ppm) concentration level, instability is generally caused by precipitation formation or photo-reduction reactions. However, the main route of instability at the part-</w:t>
      </w:r>
      <w:r w:rsidR="004E3F7A" w:rsidRPr="00714E6A">
        <w:t>per-billion (ppb) level is derived from</w:t>
      </w:r>
      <w:r w:rsidR="00665088" w:rsidRPr="00714E6A">
        <w:t xml:space="preserve"> chemical and physical</w:t>
      </w:r>
      <w:r w:rsidR="004E3F7A" w:rsidRPr="00714E6A">
        <w:t xml:space="preserve"> adsorption to the container walls.</w:t>
      </w:r>
      <w:r w:rsidR="00F42B38" w:rsidRPr="00714E6A">
        <w:t xml:space="preserve"> </w:t>
      </w:r>
    </w:p>
    <w:p w14:paraId="4A30BFAF" w14:textId="6BF69C01" w:rsidR="002E00E4" w:rsidRPr="00714E6A" w:rsidRDefault="00374C40" w:rsidP="00374C40">
      <w:pPr>
        <w:pStyle w:val="Heading3"/>
      </w:pPr>
      <w:proofErr w:type="gramStart"/>
      <w:r w:rsidRPr="00714E6A">
        <w:t>During the course of</w:t>
      </w:r>
      <w:proofErr w:type="gramEnd"/>
      <w:r w:rsidRPr="00714E6A">
        <w:t xml:space="preserve"> a sample preparation, contamination can occur from the environment, the reagents, the apparatus, and even the analyst.</w:t>
      </w:r>
      <w:r w:rsidR="0023004B" w:rsidRPr="00714E6A">
        <w:t xml:space="preserve"> </w:t>
      </w:r>
      <w:r w:rsidR="00195A95" w:rsidRPr="00714E6A">
        <w:t xml:space="preserve">Keep sample preparation and measurement times to a minimum. </w:t>
      </w:r>
      <w:r w:rsidR="009035F5" w:rsidRPr="00714E6A">
        <w:t xml:space="preserve">For trace </w:t>
      </w:r>
      <w:r w:rsidR="0059311A" w:rsidRPr="00714E6A">
        <w:t xml:space="preserve">levels, glassware should be </w:t>
      </w:r>
      <w:r w:rsidR="00B75FC7" w:rsidRPr="00714E6A">
        <w:t xml:space="preserve">cleaned </w:t>
      </w:r>
      <w:r w:rsidR="00B50B72" w:rsidRPr="00714E6A">
        <w:t>by soaking in</w:t>
      </w:r>
      <w:r w:rsidR="00B75FC7" w:rsidRPr="00714E6A">
        <w:t xml:space="preserve"> 20% HNO</w:t>
      </w:r>
      <w:r w:rsidR="00B75FC7" w:rsidRPr="00747E2F">
        <w:rPr>
          <w:vertAlign w:val="subscript"/>
        </w:rPr>
        <w:t>3</w:t>
      </w:r>
      <w:r w:rsidR="00B75FC7" w:rsidRPr="00714E6A">
        <w:t xml:space="preserve"> </w:t>
      </w:r>
      <w:r w:rsidR="00B50B72" w:rsidRPr="00714E6A">
        <w:t xml:space="preserve">solution </w:t>
      </w:r>
      <w:r w:rsidR="00B75FC7" w:rsidRPr="00714E6A">
        <w:t xml:space="preserve">and </w:t>
      </w:r>
      <w:r w:rsidR="00B50B72" w:rsidRPr="00714E6A">
        <w:t>rinsing several times with ultrapure water.</w:t>
      </w:r>
      <w:r w:rsidR="000D416B" w:rsidRPr="00714E6A">
        <w:t xml:space="preserve"> </w:t>
      </w:r>
      <w:r w:rsidR="00CC3943" w:rsidRPr="00CC3943">
        <w:t xml:space="preserve">Sample tubes are filled with 2% nitric acid and heated for 24 h at 60°C </w:t>
      </w:r>
      <w:r w:rsidR="00CC3943">
        <w:t xml:space="preserve">(acid-leaching). </w:t>
      </w:r>
      <w:r w:rsidR="000D416B" w:rsidRPr="00714E6A">
        <w:t>Only use ACS grade reagents</w:t>
      </w:r>
      <w:r w:rsidR="00FC0F74">
        <w:t>,</w:t>
      </w:r>
      <w:r w:rsidR="00FC0F74" w:rsidRPr="00FC0F74">
        <w:t xml:space="preserve"> trace-metal grade</w:t>
      </w:r>
      <w:r w:rsidR="00AC7762">
        <w:t xml:space="preserve"> acids,</w:t>
      </w:r>
      <w:r w:rsidR="00FC0F74">
        <w:t xml:space="preserve"> </w:t>
      </w:r>
      <w:r w:rsidR="00B44705" w:rsidRPr="00714E6A">
        <w:t>and fresh ultrapure water.</w:t>
      </w:r>
    </w:p>
    <w:p w14:paraId="0D75E9CA" w14:textId="357A06DA" w:rsidR="00CB5584" w:rsidRPr="003044BF" w:rsidRDefault="00A45079" w:rsidP="00CB5584">
      <w:pPr>
        <w:pStyle w:val="Heading2"/>
      </w:pPr>
      <w:r w:rsidRPr="003044BF">
        <w:t>Calibration Standards</w:t>
      </w:r>
      <w:r w:rsidR="006A42FB" w:rsidRPr="003044BF">
        <w:t xml:space="preserve"> and Sample Matrixes</w:t>
      </w:r>
      <w:r w:rsidRPr="003044BF">
        <w:t xml:space="preserve">: </w:t>
      </w:r>
      <w:r w:rsidR="006A42FB" w:rsidRPr="003044BF">
        <w:t xml:space="preserve"> ICP is a comparative </w:t>
      </w:r>
      <w:proofErr w:type="gramStart"/>
      <w:r w:rsidR="006A42FB" w:rsidRPr="003044BF">
        <w:t>method</w:t>
      </w:r>
      <w:proofErr w:type="gramEnd"/>
      <w:r w:rsidR="00166F50" w:rsidRPr="003044BF">
        <w:t xml:space="preserve"> and it is also </w:t>
      </w:r>
      <w:proofErr w:type="gramStart"/>
      <w:r w:rsidR="00166F50" w:rsidRPr="003044BF">
        <w:t>matrix-dependent</w:t>
      </w:r>
      <w:proofErr w:type="gramEnd"/>
      <w:r w:rsidR="00EB63CE" w:rsidRPr="003044BF">
        <w:t xml:space="preserve"> Therefore, the ideal situation is </w:t>
      </w:r>
      <w:r w:rsidR="00FE4306" w:rsidRPr="003044BF">
        <w:t xml:space="preserve">when </w:t>
      </w:r>
      <w:r w:rsidR="00EB63CE" w:rsidRPr="003044BF">
        <w:t>the matrices of the standards and samples</w:t>
      </w:r>
      <w:r w:rsidR="00FE4306" w:rsidRPr="003044BF">
        <w:t xml:space="preserve"> </w:t>
      </w:r>
      <w:r w:rsidR="00EB63CE" w:rsidRPr="003044BF">
        <w:t>be identical</w:t>
      </w:r>
      <w:r w:rsidR="00FE4306" w:rsidRPr="003044BF">
        <w:t>.</w:t>
      </w:r>
      <w:r w:rsidR="00CB5584" w:rsidRPr="003044BF">
        <w:t xml:space="preserve"> Below are some recommendations to improve the performance of your method:</w:t>
      </w:r>
    </w:p>
    <w:p w14:paraId="2565A998" w14:textId="3B6240AD" w:rsidR="00CB5584" w:rsidRPr="003044BF" w:rsidRDefault="0015724E" w:rsidP="0086446D">
      <w:pPr>
        <w:pStyle w:val="Heading2"/>
        <w:numPr>
          <w:ilvl w:val="1"/>
          <w:numId w:val="10"/>
        </w:numPr>
      </w:pPr>
      <w:r w:rsidRPr="003044BF">
        <w:t xml:space="preserve">Match the acid content of the calibration standards and samples in both the type of acid used and the concentration of </w:t>
      </w:r>
      <w:r w:rsidRPr="003044BF">
        <w:lastRenderedPageBreak/>
        <w:t>the acid.</w:t>
      </w:r>
    </w:p>
    <w:p w14:paraId="615E707C" w14:textId="353E5BA2" w:rsidR="005D432C" w:rsidRPr="003044BF" w:rsidRDefault="005D432C" w:rsidP="0086446D">
      <w:pPr>
        <w:pStyle w:val="Heading2"/>
        <w:numPr>
          <w:ilvl w:val="1"/>
          <w:numId w:val="10"/>
        </w:numPr>
      </w:pPr>
      <w:r w:rsidRPr="003044BF">
        <w:t>Match the elemental matrix components of your calibration standards and samples to the greatest extent possible</w:t>
      </w:r>
      <w:r w:rsidR="00482536" w:rsidRPr="003044BF">
        <w:t xml:space="preserve">. </w:t>
      </w:r>
      <w:r w:rsidR="00280465" w:rsidRPr="003044BF">
        <w:t xml:space="preserve">When matching is not possible, e.g. unknown samples, </w:t>
      </w:r>
      <w:r w:rsidR="00A00C88" w:rsidRPr="003044BF">
        <w:t>the technique of standard additions can be used.</w:t>
      </w:r>
      <w:r w:rsidR="00482536" w:rsidRPr="003044BF">
        <w:t xml:space="preserve"> However, this approach is slow as compared to the calibration curve technique with the use</w:t>
      </w:r>
      <w:r w:rsidR="00732DB7" w:rsidRPr="003044BF">
        <w:t xml:space="preserve"> </w:t>
      </w:r>
      <w:r w:rsidR="00482536" w:rsidRPr="003044BF">
        <w:t>of internal standardization.</w:t>
      </w:r>
    </w:p>
    <w:p w14:paraId="344E1EC2" w14:textId="0C1CC9BE" w:rsidR="00B420AD" w:rsidRPr="003044BF" w:rsidRDefault="00B420AD" w:rsidP="0086446D">
      <w:pPr>
        <w:pStyle w:val="Heading2"/>
        <w:numPr>
          <w:ilvl w:val="1"/>
          <w:numId w:val="10"/>
        </w:numPr>
      </w:pPr>
      <w:r w:rsidRPr="003044BF">
        <w:t>The use of internal standardization is very effective in many cases but may introduce--or not correct for--all errors.</w:t>
      </w:r>
    </w:p>
    <w:p w14:paraId="4774455B" w14:textId="7C43431B" w:rsidR="000640C5" w:rsidRPr="003044BF" w:rsidRDefault="002D3F62" w:rsidP="0086446D">
      <w:pPr>
        <w:pStyle w:val="Heading2"/>
        <w:numPr>
          <w:ilvl w:val="1"/>
          <w:numId w:val="10"/>
        </w:numPr>
      </w:pPr>
      <w:r w:rsidRPr="003044BF">
        <w:t xml:space="preserve">There is always the </w:t>
      </w:r>
      <w:r w:rsidR="000640C5" w:rsidRPr="003044BF">
        <w:t>possibility of bias introduced by the nature of the standards used. Appropriate reference materials should be used to evaluate this and other aspects of the measurement process.</w:t>
      </w:r>
      <w:r w:rsidR="003A780E" w:rsidRPr="003044BF">
        <w:t xml:space="preserve"> </w:t>
      </w:r>
      <w:r w:rsidR="000F5DB7" w:rsidRPr="003044BF">
        <w:t xml:space="preserve">The age of the standards is also a factor to consider, since </w:t>
      </w:r>
      <w:r w:rsidR="004519FC" w:rsidRPr="003044BF">
        <w:t xml:space="preserve">plastic bottles are subject to transpiration. </w:t>
      </w:r>
      <w:r w:rsidR="00E559AF" w:rsidRPr="003044BF">
        <w:fldChar w:fldCharType="begin"/>
      </w:r>
      <w:r w:rsidR="00E559AF" w:rsidRPr="003044BF">
        <w:instrText xml:space="preserve"> REF _Ref97907886 \h </w:instrText>
      </w:r>
      <w:r w:rsidR="003044BF">
        <w:instrText xml:space="preserve"> \* MERGEFORMAT </w:instrText>
      </w:r>
      <w:r w:rsidR="00E559AF" w:rsidRPr="003044BF">
        <w:fldChar w:fldCharType="separate"/>
      </w:r>
      <w:r w:rsidR="00D752AE">
        <w:t xml:space="preserve">Figure </w:t>
      </w:r>
      <w:r w:rsidR="00D752AE">
        <w:rPr>
          <w:noProof/>
        </w:rPr>
        <w:t>2</w:t>
      </w:r>
      <w:r w:rsidR="00E559AF" w:rsidRPr="003044BF">
        <w:fldChar w:fldCharType="end"/>
      </w:r>
      <w:r w:rsidR="00E559AF" w:rsidRPr="003044BF">
        <w:t xml:space="preserve"> shows the </w:t>
      </w:r>
      <w:r w:rsidR="00C91F25" w:rsidRPr="003044BF">
        <w:t xml:space="preserve">change in concentration of standards </w:t>
      </w:r>
      <w:r w:rsidR="00C95444" w:rsidRPr="003044BF">
        <w:t xml:space="preserve">due to </w:t>
      </w:r>
      <w:r w:rsidR="00E559AF" w:rsidRPr="003044BF">
        <w:t xml:space="preserve">transpiration </w:t>
      </w:r>
      <w:r w:rsidR="00C95444" w:rsidRPr="003044BF">
        <w:t xml:space="preserve">over a period of 5 years. </w:t>
      </w:r>
    </w:p>
    <w:p w14:paraId="17DA4F66" w14:textId="56C69403" w:rsidR="002A058C" w:rsidRDefault="000F5DB7" w:rsidP="006710F8">
      <w:pPr>
        <w:pStyle w:val="Heading3"/>
        <w:numPr>
          <w:ilvl w:val="0"/>
          <w:numId w:val="0"/>
        </w:numPr>
        <w:jc w:val="center"/>
        <w:rPr>
          <w:highlight w:val="yellow"/>
        </w:rPr>
      </w:pPr>
      <w:r>
        <w:rPr>
          <w:noProof/>
          <w:highlight w:val="yellow"/>
        </w:rPr>
        <w:drawing>
          <wp:inline distT="0" distB="0" distL="0" distR="0" wp14:anchorId="1B6B905C" wp14:editId="3D2D99BF">
            <wp:extent cx="3621405" cy="2688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1405" cy="2688590"/>
                    </a:xfrm>
                    <a:prstGeom prst="rect">
                      <a:avLst/>
                    </a:prstGeom>
                    <a:noFill/>
                  </pic:spPr>
                </pic:pic>
              </a:graphicData>
            </a:graphic>
          </wp:inline>
        </w:drawing>
      </w:r>
    </w:p>
    <w:p w14:paraId="1B291C05" w14:textId="79B5FE16" w:rsidR="00E559AF" w:rsidRPr="0058389C" w:rsidRDefault="00E559AF" w:rsidP="00E559AF">
      <w:pPr>
        <w:pStyle w:val="Caption"/>
        <w:rPr>
          <w:highlight w:val="yellow"/>
        </w:rPr>
      </w:pPr>
      <w:bookmarkStart w:id="4" w:name="_Ref97907886"/>
      <w:bookmarkStart w:id="5" w:name="_Ref97907882"/>
      <w:r>
        <w:t xml:space="preserve">Figure </w:t>
      </w:r>
      <w:fldSimple w:instr=" SEQ Figure \* ARABIC ">
        <w:r w:rsidR="00D752AE">
          <w:rPr>
            <w:noProof/>
          </w:rPr>
          <w:t>2</w:t>
        </w:r>
      </w:fldSimple>
      <w:bookmarkEnd w:id="4"/>
      <w:r>
        <w:t>.</w:t>
      </w:r>
      <w:bookmarkEnd w:id="5"/>
      <w:r>
        <w:t xml:space="preserve"> R</w:t>
      </w:r>
      <w:r w:rsidRPr="00E559AF">
        <w:t>ate of transpiration for 125 mL and 500 mL LDPE bottles with conventional PP caps</w:t>
      </w:r>
    </w:p>
    <w:p w14:paraId="5B3E5717" w14:textId="70106AC3" w:rsidR="0058389C" w:rsidRPr="000B6984" w:rsidRDefault="00847E06" w:rsidP="0058389C">
      <w:pPr>
        <w:pStyle w:val="Heading1"/>
      </w:pPr>
      <w:r w:rsidRPr="000B6984">
        <w:t>PREPARATION TECHNIQUES</w:t>
      </w:r>
    </w:p>
    <w:p w14:paraId="45574931" w14:textId="45134400" w:rsidR="00DF096C" w:rsidRPr="000B6984" w:rsidRDefault="008D1014" w:rsidP="00ED52B2">
      <w:pPr>
        <w:pStyle w:val="Heading2"/>
      </w:pPr>
      <w:r w:rsidRPr="000B6984">
        <w:t xml:space="preserve">Dissolved </w:t>
      </w:r>
      <w:r w:rsidR="00493AC6" w:rsidRPr="000B6984">
        <w:t>analytes</w:t>
      </w:r>
      <w:r w:rsidR="00DF096C" w:rsidRPr="000B6984">
        <w:t>:</w:t>
      </w:r>
    </w:p>
    <w:p w14:paraId="23C4A0E4" w14:textId="0B8D898E" w:rsidR="00ED52B2" w:rsidRPr="000B6984" w:rsidRDefault="007A1E86" w:rsidP="00DF096C">
      <w:pPr>
        <w:pStyle w:val="Heading3"/>
      </w:pPr>
      <w:r w:rsidRPr="000B6984">
        <w:t>For the analysis of dissolved analytes, a</w:t>
      </w:r>
      <w:r w:rsidR="00ED52B2" w:rsidRPr="000B6984">
        <w:t xml:space="preserve">queous samples are typically acidified with nitric acid </w:t>
      </w:r>
      <w:r w:rsidR="00B05560" w:rsidRPr="000B6984">
        <w:t>to pH &lt;2 (but no greater than 10% acid by volume)</w:t>
      </w:r>
      <w:r w:rsidR="00ED52B2" w:rsidRPr="000B6984">
        <w:t xml:space="preserve"> to ensure that their elemental components remain in solution.</w:t>
      </w:r>
      <w:r w:rsidR="00CE3C6A" w:rsidRPr="000B6984">
        <w:t xml:space="preserve"> </w:t>
      </w:r>
    </w:p>
    <w:p w14:paraId="4FE2D664" w14:textId="4E29D715" w:rsidR="00191B7C" w:rsidRPr="000B6984" w:rsidRDefault="00191B7C" w:rsidP="00191B7C">
      <w:pPr>
        <w:pStyle w:val="Heading3"/>
      </w:pPr>
      <w:r w:rsidRPr="000B6984">
        <w:t xml:space="preserve">Samples with high </w:t>
      </w:r>
      <w:proofErr w:type="gramStart"/>
      <w:r w:rsidR="00952D2D" w:rsidRPr="000B6984">
        <w:t>amount</w:t>
      </w:r>
      <w:proofErr w:type="gramEnd"/>
      <w:r w:rsidR="00952D2D" w:rsidRPr="000B6984">
        <w:t xml:space="preserve"> of dissolved solids </w:t>
      </w:r>
      <w:r w:rsidRPr="000B6984">
        <w:t>(seawater</w:t>
      </w:r>
      <w:r w:rsidR="00952D2D" w:rsidRPr="000B6984">
        <w:t>,</w:t>
      </w:r>
      <w:r w:rsidRPr="000B6984">
        <w:t xml:space="preserve"> biological buffers) </w:t>
      </w:r>
      <w:r w:rsidR="0000630A" w:rsidRPr="000B6984">
        <w:t xml:space="preserve">need to be diluted </w:t>
      </w:r>
      <w:r w:rsidR="002C7AAD" w:rsidRPr="000B6984">
        <w:t xml:space="preserve">(typically </w:t>
      </w:r>
      <w:r w:rsidR="0023265D" w:rsidRPr="000B6984">
        <w:t xml:space="preserve">to &lt; </w:t>
      </w:r>
      <w:r w:rsidR="002C7AAD" w:rsidRPr="000B6984">
        <w:t>3%</w:t>
      </w:r>
      <w:r w:rsidR="0023265D" w:rsidRPr="000B6984">
        <w:t xml:space="preserve"> dissolved solids</w:t>
      </w:r>
      <w:r w:rsidR="002C7AAD" w:rsidRPr="000B6984">
        <w:t xml:space="preserve">) </w:t>
      </w:r>
      <w:r w:rsidRPr="000B6984">
        <w:t>cannot be analyzed undiluted because of the high total dissolved solids</w:t>
      </w:r>
      <w:r w:rsidR="008D1014" w:rsidRPr="000B6984">
        <w:t>.</w:t>
      </w:r>
    </w:p>
    <w:p w14:paraId="362D28EE" w14:textId="26EF0990" w:rsidR="006E1A54" w:rsidRPr="000B6984" w:rsidRDefault="00E92237" w:rsidP="00B56C84">
      <w:pPr>
        <w:pStyle w:val="Heading3"/>
      </w:pPr>
      <w:r w:rsidRPr="000B6984">
        <w:t xml:space="preserve">All samples should </w:t>
      </w:r>
      <w:r w:rsidR="00B56C84" w:rsidRPr="000B6984">
        <w:t>be filtered through a 0.45 µm membrane filter.</w:t>
      </w:r>
    </w:p>
    <w:p w14:paraId="6E1D50E2" w14:textId="551B03D5" w:rsidR="00847E06" w:rsidRPr="000B6984" w:rsidRDefault="00493AC6" w:rsidP="00ED52B2">
      <w:pPr>
        <w:pStyle w:val="Heading2"/>
      </w:pPr>
      <w:r w:rsidRPr="000B6984">
        <w:t>Acid Digestions</w:t>
      </w:r>
      <w:r w:rsidR="00AB4A1A" w:rsidRPr="000B6984">
        <w:t xml:space="preserve"> of Inorganic Samples</w:t>
      </w:r>
    </w:p>
    <w:p w14:paraId="18560A2A" w14:textId="06853DBA" w:rsidR="00973DB8" w:rsidRDefault="00932D31" w:rsidP="00973DB8">
      <w:pPr>
        <w:pStyle w:val="Heading3"/>
      </w:pPr>
      <w:r w:rsidRPr="00932D31">
        <w:t>Nitric acid is used primarily in the preparation of inorganic sample types. It is a very useful component in the destruction of organics but cannot by itself completely decompose organic matrices.</w:t>
      </w:r>
      <w:r w:rsidR="00973DB8" w:rsidRPr="00973DB8">
        <w:t xml:space="preserve"> </w:t>
      </w:r>
      <w:r w:rsidR="00973DB8">
        <w:t>The following is a summary of some common inorganic dissolutions using nitric acid:</w:t>
      </w:r>
      <w:r w:rsidR="00766AB3">
        <w:t xml:space="preserve"> </w:t>
      </w:r>
    </w:p>
    <w:p w14:paraId="37D0B291" w14:textId="77777777" w:rsidR="00973DB8" w:rsidRDefault="00973DB8" w:rsidP="00766AB3">
      <w:pPr>
        <w:pStyle w:val="Heading3"/>
        <w:numPr>
          <w:ilvl w:val="1"/>
          <w:numId w:val="11"/>
        </w:numPr>
      </w:pPr>
      <w:r>
        <w:lastRenderedPageBreak/>
        <w:t>Dilute 10 - 15 % aqueous dilution - Alkaline earth oxides, lanthanide oxides, actinide oxides, Sc2O3, Y2O3, La2O3.</w:t>
      </w:r>
    </w:p>
    <w:p w14:paraId="5C5F3F30" w14:textId="77777777" w:rsidR="00973DB8" w:rsidRDefault="00973DB8" w:rsidP="00766AB3">
      <w:pPr>
        <w:pStyle w:val="Heading3"/>
        <w:numPr>
          <w:ilvl w:val="1"/>
          <w:numId w:val="11"/>
        </w:numPr>
      </w:pPr>
      <w:r>
        <w:t xml:space="preserve">1:1 HNO3 + H2O - V2O5, Mn oxides, </w:t>
      </w:r>
      <w:proofErr w:type="spellStart"/>
      <w:r>
        <w:t>CuO</w:t>
      </w:r>
      <w:proofErr w:type="spellEnd"/>
      <w:r>
        <w:t xml:space="preserve">, </w:t>
      </w:r>
      <w:proofErr w:type="spellStart"/>
      <w:r>
        <w:t>CdO</w:t>
      </w:r>
      <w:proofErr w:type="spellEnd"/>
      <w:r>
        <w:t>, Hg oxides Tl oxides, Pb oxides, Bi oxides, Cu0, Zn0, Cd0, Hg0, Pb0.</w:t>
      </w:r>
    </w:p>
    <w:p w14:paraId="4D07FE76" w14:textId="77777777" w:rsidR="00973DB8" w:rsidRDefault="00973DB8" w:rsidP="00766AB3">
      <w:pPr>
        <w:pStyle w:val="Heading3"/>
        <w:numPr>
          <w:ilvl w:val="1"/>
          <w:numId w:val="11"/>
        </w:numPr>
      </w:pPr>
      <w:r>
        <w:t>Concentrated (69%) HNO3 - Mn0, Fe0 (hot), Co0, Ag0, Pd0 (hot), Se0, As0, Bi0, Re0.</w:t>
      </w:r>
    </w:p>
    <w:p w14:paraId="46B9CF88" w14:textId="77777777" w:rsidR="00973DB8" w:rsidRDefault="00973DB8" w:rsidP="00766AB3">
      <w:pPr>
        <w:pStyle w:val="Heading3"/>
        <w:numPr>
          <w:ilvl w:val="1"/>
          <w:numId w:val="11"/>
        </w:numPr>
      </w:pPr>
      <w:r>
        <w:t>1:3 HNO3 + HCl - Pt0, Au0, steel, Fe/Ni alloys, Cu alloys, Cr/Ni steel.</w:t>
      </w:r>
    </w:p>
    <w:p w14:paraId="65FC29F5" w14:textId="1A5317A1" w:rsidR="00ED52B2" w:rsidRDefault="00973DB8" w:rsidP="00766AB3">
      <w:pPr>
        <w:pStyle w:val="Heading3"/>
        <w:numPr>
          <w:ilvl w:val="1"/>
          <w:numId w:val="11"/>
        </w:numPr>
      </w:pPr>
      <w:r>
        <w:t xml:space="preserve">1:1:1 HNO3 + HF + H2O - The metal and oxides of Ti, Zr, Hf, Nb, W, Sn, Al, Si, Ge, Sb, </w:t>
      </w:r>
      <w:proofErr w:type="spellStart"/>
      <w:r>
        <w:t>Te</w:t>
      </w:r>
      <w:proofErr w:type="spellEnd"/>
      <w:r>
        <w:t>, As, Se, Mo and numerous alloys and oxide mixtures containing one or more of these elements.</w:t>
      </w:r>
    </w:p>
    <w:p w14:paraId="00BE37A9" w14:textId="1F292A0A" w:rsidR="009A5214" w:rsidRDefault="00CB706A" w:rsidP="00766AB3">
      <w:pPr>
        <w:pStyle w:val="Heading3"/>
        <w:numPr>
          <w:ilvl w:val="1"/>
          <w:numId w:val="11"/>
        </w:numPr>
      </w:pPr>
      <w:r>
        <w:t xml:space="preserve">For more details regarding </w:t>
      </w:r>
      <w:r w:rsidR="0077236E">
        <w:t>acid digestion and elemental compatibility, check the links below.</w:t>
      </w:r>
    </w:p>
    <w:p w14:paraId="093E824D" w14:textId="544843A3" w:rsidR="0077236E" w:rsidRDefault="00EE522C" w:rsidP="00EE522C">
      <w:pPr>
        <w:pStyle w:val="Heading3"/>
        <w:numPr>
          <w:ilvl w:val="0"/>
          <w:numId w:val="0"/>
        </w:numPr>
        <w:ind w:left="360"/>
      </w:pPr>
      <w:hyperlink r:id="rId15" w:history="1">
        <w:r w:rsidRPr="00F93B56">
          <w:rPr>
            <w:rStyle w:val="Hyperlink"/>
          </w:rPr>
          <w:t>https://www.inorganicventures.com/icp-guide/elemental-and-matrix-compatibility</w:t>
        </w:r>
      </w:hyperlink>
    </w:p>
    <w:p w14:paraId="4919231B" w14:textId="735796C8" w:rsidR="00EE522C" w:rsidRDefault="00EE522C" w:rsidP="00EE522C">
      <w:pPr>
        <w:pStyle w:val="Heading3"/>
        <w:numPr>
          <w:ilvl w:val="0"/>
          <w:numId w:val="0"/>
        </w:numPr>
        <w:ind w:left="360"/>
      </w:pPr>
      <w:hyperlink r:id="rId16" w:history="1">
        <w:r w:rsidRPr="00F93B56">
          <w:rPr>
            <w:rStyle w:val="Hyperlink"/>
          </w:rPr>
          <w:t>https://www.inorganicventures.com/sample-preparation-guide</w:t>
        </w:r>
      </w:hyperlink>
      <w:r>
        <w:t xml:space="preserve"> </w:t>
      </w:r>
    </w:p>
    <w:p w14:paraId="27666A7B" w14:textId="1E94B9E3" w:rsidR="000947CE" w:rsidRDefault="008A5DB3" w:rsidP="00C61ACA">
      <w:pPr>
        <w:pStyle w:val="Heading2"/>
      </w:pPr>
      <w:proofErr w:type="spellStart"/>
      <w:r>
        <w:t>Ashi</w:t>
      </w:r>
      <w:r w:rsidR="000A5596">
        <w:t>ng</w:t>
      </w:r>
      <w:proofErr w:type="spellEnd"/>
      <w:r w:rsidR="004224E2">
        <w:t xml:space="preserve"> of samples</w:t>
      </w:r>
      <w:r w:rsidR="00A55BED">
        <w:t>*</w:t>
      </w:r>
    </w:p>
    <w:p w14:paraId="0E99496C" w14:textId="63404808" w:rsidR="000A5596" w:rsidRDefault="000A5596" w:rsidP="000A5596">
      <w:pPr>
        <w:pStyle w:val="Heading3"/>
      </w:pPr>
      <w:r w:rsidRPr="00225BBF">
        <w:rPr>
          <w:b/>
          <w:bCs/>
        </w:rPr>
        <w:t xml:space="preserve">Dry </w:t>
      </w:r>
      <w:proofErr w:type="spellStart"/>
      <w:r w:rsidRPr="00225BBF">
        <w:rPr>
          <w:b/>
          <w:bCs/>
        </w:rPr>
        <w:t>Ashing</w:t>
      </w:r>
      <w:proofErr w:type="spellEnd"/>
      <w:r w:rsidRPr="000A5596">
        <w:t xml:space="preserve"> is usually performed by placing the sample in an open inert vessel</w:t>
      </w:r>
      <w:r>
        <w:t xml:space="preserve"> (ceramic or platinum crucible)</w:t>
      </w:r>
      <w:r w:rsidRPr="000A5596">
        <w:t xml:space="preserve"> and destroying the combustible (organic) portion of the sample by thermal decomposition using a muffle furnace. Typical </w:t>
      </w:r>
      <w:proofErr w:type="spellStart"/>
      <w:r w:rsidRPr="000A5596">
        <w:t>ashing</w:t>
      </w:r>
      <w:proofErr w:type="spellEnd"/>
      <w:r w:rsidRPr="000A5596">
        <w:t xml:space="preserve"> temperatures are 450 to 550 °C.</w:t>
      </w:r>
    </w:p>
    <w:p w14:paraId="4F07B17F" w14:textId="75312B4D" w:rsidR="00EB79D2" w:rsidRDefault="00EB79D2" w:rsidP="00BC6B23">
      <w:pPr>
        <w:pStyle w:val="Heading4"/>
        <w:rPr>
          <w:rFonts w:ascii="Times New Roman" w:hAnsi="Times New Roman" w:cs="Times New Roman"/>
          <w:i w:val="0"/>
          <w:iCs w:val="0"/>
          <w:color w:val="auto"/>
        </w:rPr>
      </w:pPr>
      <w:r w:rsidRPr="00EB79D2">
        <w:rPr>
          <w:rFonts w:ascii="Times New Roman" w:hAnsi="Times New Roman" w:cs="Times New Roman"/>
          <w:i w:val="0"/>
          <w:iCs w:val="0"/>
          <w:color w:val="auto"/>
        </w:rPr>
        <w:t xml:space="preserve">Dry </w:t>
      </w:r>
      <w:proofErr w:type="spellStart"/>
      <w:r w:rsidRPr="00EB79D2">
        <w:rPr>
          <w:rFonts w:ascii="Times New Roman" w:hAnsi="Times New Roman" w:cs="Times New Roman"/>
          <w:i w:val="0"/>
          <w:iCs w:val="0"/>
          <w:color w:val="auto"/>
        </w:rPr>
        <w:t>ashing</w:t>
      </w:r>
      <w:proofErr w:type="spellEnd"/>
      <w:r w:rsidRPr="00EB79D2">
        <w:rPr>
          <w:rFonts w:ascii="Times New Roman" w:hAnsi="Times New Roman" w:cs="Times New Roman"/>
          <w:i w:val="0"/>
          <w:iCs w:val="0"/>
          <w:color w:val="auto"/>
        </w:rPr>
        <w:t xml:space="preserve"> procedures are typically and preferentially performed in Pt° crucibles. Glassy carbon can be used but some attack may occur. Nickel and iron can also be used but the metal from the crucible can cause significant spectral interference</w:t>
      </w:r>
      <w:r>
        <w:rPr>
          <w:rFonts w:ascii="Times New Roman" w:hAnsi="Times New Roman" w:cs="Times New Roman"/>
          <w:i w:val="0"/>
          <w:iCs w:val="0"/>
          <w:color w:val="auto"/>
        </w:rPr>
        <w:t>.</w:t>
      </w:r>
    </w:p>
    <w:p w14:paraId="36B45652" w14:textId="0BB8E3CC" w:rsidR="00BC6B23" w:rsidRPr="00AA0C9D" w:rsidRDefault="00BC6B23" w:rsidP="00BC6B23">
      <w:pPr>
        <w:pStyle w:val="Heading4"/>
        <w:rPr>
          <w:rFonts w:ascii="Times New Roman" w:hAnsi="Times New Roman" w:cs="Times New Roman"/>
          <w:i w:val="0"/>
          <w:iCs w:val="0"/>
          <w:color w:val="auto"/>
        </w:rPr>
      </w:pPr>
      <w:r w:rsidRPr="00AA0C9D">
        <w:rPr>
          <w:rFonts w:ascii="Times New Roman" w:hAnsi="Times New Roman" w:cs="Times New Roman"/>
          <w:i w:val="0"/>
          <w:iCs w:val="0"/>
          <w:color w:val="auto"/>
        </w:rPr>
        <w:t xml:space="preserve">A sample size ranging from a few milligrams to 100 grams is weighed into the crucible. </w:t>
      </w:r>
    </w:p>
    <w:p w14:paraId="559D2AC7" w14:textId="77777777" w:rsidR="00AA0C9D" w:rsidRPr="00AA0C9D" w:rsidRDefault="00BC6B23" w:rsidP="00BC6B23">
      <w:pPr>
        <w:pStyle w:val="Heading4"/>
        <w:rPr>
          <w:rFonts w:ascii="Times New Roman" w:hAnsi="Times New Roman" w:cs="Times New Roman"/>
          <w:i w:val="0"/>
          <w:iCs w:val="0"/>
          <w:color w:val="auto"/>
        </w:rPr>
      </w:pPr>
      <w:r w:rsidRPr="00AA0C9D">
        <w:rPr>
          <w:rFonts w:ascii="Times New Roman" w:hAnsi="Times New Roman" w:cs="Times New Roman"/>
          <w:i w:val="0"/>
          <w:iCs w:val="0"/>
          <w:color w:val="auto"/>
        </w:rPr>
        <w:t xml:space="preserve">The crucible is placed on a hot plate and set on the highest setting. </w:t>
      </w:r>
      <w:r w:rsidR="00FB76F9" w:rsidRPr="00AA0C9D">
        <w:rPr>
          <w:rFonts w:ascii="Times New Roman" w:hAnsi="Times New Roman" w:cs="Times New Roman"/>
          <w:i w:val="0"/>
          <w:iCs w:val="0"/>
          <w:color w:val="auto"/>
        </w:rPr>
        <w:t>T</w:t>
      </w:r>
      <w:r w:rsidRPr="00AA0C9D">
        <w:rPr>
          <w:rFonts w:ascii="Times New Roman" w:hAnsi="Times New Roman" w:cs="Times New Roman"/>
          <w:i w:val="0"/>
          <w:iCs w:val="0"/>
          <w:color w:val="auto"/>
        </w:rPr>
        <w:t>his</w:t>
      </w:r>
      <w:r w:rsidR="00FB76F9" w:rsidRPr="00AA0C9D">
        <w:rPr>
          <w:rFonts w:ascii="Times New Roman" w:hAnsi="Times New Roman" w:cs="Times New Roman"/>
          <w:i w:val="0"/>
          <w:iCs w:val="0"/>
          <w:color w:val="auto"/>
        </w:rPr>
        <w:t xml:space="preserve"> step needs to be performed in the fume hood. A </w:t>
      </w:r>
      <w:r w:rsidR="00AA0C9D" w:rsidRPr="00AA0C9D">
        <w:rPr>
          <w:rFonts w:ascii="Times New Roman" w:hAnsi="Times New Roman" w:cs="Times New Roman"/>
          <w:i w:val="0"/>
          <w:iCs w:val="0"/>
          <w:color w:val="auto"/>
        </w:rPr>
        <w:t xml:space="preserve">Bunsen burner </w:t>
      </w:r>
      <w:r w:rsidRPr="00AA0C9D">
        <w:rPr>
          <w:rFonts w:ascii="Times New Roman" w:hAnsi="Times New Roman" w:cs="Times New Roman"/>
          <w:i w:val="0"/>
          <w:iCs w:val="0"/>
          <w:color w:val="auto"/>
        </w:rPr>
        <w:t>is helpful in speeding up the process and is necessary for the ignition of certain sample types such as polyethylene.</w:t>
      </w:r>
    </w:p>
    <w:p w14:paraId="341833D9" w14:textId="1B6924F3" w:rsidR="00BC6B23" w:rsidRPr="00AA0C9D" w:rsidRDefault="00BC6B23" w:rsidP="00BC6B23">
      <w:pPr>
        <w:pStyle w:val="Heading4"/>
        <w:rPr>
          <w:rFonts w:ascii="Times New Roman" w:hAnsi="Times New Roman" w:cs="Times New Roman"/>
          <w:i w:val="0"/>
          <w:iCs w:val="0"/>
          <w:color w:val="auto"/>
        </w:rPr>
      </w:pPr>
      <w:r w:rsidRPr="00AA0C9D">
        <w:rPr>
          <w:rFonts w:ascii="Times New Roman" w:hAnsi="Times New Roman" w:cs="Times New Roman"/>
          <w:i w:val="0"/>
          <w:iCs w:val="0"/>
          <w:color w:val="auto"/>
        </w:rPr>
        <w:t xml:space="preserve">As soon as fumes cease to evolve, the sample is placed in a muffle furnace at 450 - 500 °C for one hour or until </w:t>
      </w:r>
      <w:proofErr w:type="gramStart"/>
      <w:r w:rsidRPr="00AA0C9D">
        <w:rPr>
          <w:rFonts w:ascii="Times New Roman" w:hAnsi="Times New Roman" w:cs="Times New Roman"/>
          <w:i w:val="0"/>
          <w:iCs w:val="0"/>
          <w:color w:val="auto"/>
        </w:rPr>
        <w:t>all of</w:t>
      </w:r>
      <w:proofErr w:type="gramEnd"/>
      <w:r w:rsidRPr="00AA0C9D">
        <w:rPr>
          <w:rFonts w:ascii="Times New Roman" w:hAnsi="Times New Roman" w:cs="Times New Roman"/>
          <w:i w:val="0"/>
          <w:iCs w:val="0"/>
          <w:color w:val="auto"/>
        </w:rPr>
        <w:t xml:space="preserve"> the carbon has been oxidized.</w:t>
      </w:r>
    </w:p>
    <w:p w14:paraId="07819EF9" w14:textId="77BD9222" w:rsidR="00244FC0" w:rsidRDefault="000114FB" w:rsidP="00244FC0">
      <w:pPr>
        <w:pStyle w:val="Heading3"/>
      </w:pPr>
      <w:r w:rsidRPr="00225BBF">
        <w:rPr>
          <w:b/>
          <w:bCs/>
        </w:rPr>
        <w:t xml:space="preserve">Sulfated </w:t>
      </w:r>
      <w:proofErr w:type="spellStart"/>
      <w:r w:rsidRPr="00225BBF">
        <w:rPr>
          <w:b/>
          <w:bCs/>
        </w:rPr>
        <w:t>Ashing</w:t>
      </w:r>
      <w:proofErr w:type="spellEnd"/>
      <w:r w:rsidRPr="000114FB">
        <w:t xml:space="preserve"> involves treatment of the sample after charring using an open flame with sulfuric acid (the char is wetted using the minimum amount of sulfuric acid and then brought to dryness before muffling) and then placing in a muffle furnace.</w:t>
      </w:r>
      <w:r w:rsidR="00225BBF">
        <w:t xml:space="preserve"> </w:t>
      </w:r>
      <w:r w:rsidR="00244FC0">
        <w:t>T</w:t>
      </w:r>
      <w:r w:rsidR="00244FC0" w:rsidRPr="00244FC0">
        <w:t xml:space="preserve">he sulfated ash is used over dry </w:t>
      </w:r>
      <w:proofErr w:type="spellStart"/>
      <w:r w:rsidR="00244FC0" w:rsidRPr="00244FC0">
        <w:t>ashing</w:t>
      </w:r>
      <w:proofErr w:type="spellEnd"/>
      <w:r w:rsidR="00244FC0" w:rsidRPr="00244FC0">
        <w:t xml:space="preserve"> when the analyst needs to fix a material as the sulfate to prevent volatilization otherwise it has no real advantages over dry </w:t>
      </w:r>
      <w:proofErr w:type="spellStart"/>
      <w:r w:rsidR="00244FC0" w:rsidRPr="00244FC0">
        <w:t>ashing</w:t>
      </w:r>
      <w:proofErr w:type="spellEnd"/>
      <w:r w:rsidR="00244FC0" w:rsidRPr="00244FC0">
        <w:t>.</w:t>
      </w:r>
    </w:p>
    <w:p w14:paraId="6182EA2D" w14:textId="73973580" w:rsidR="00AA586E" w:rsidRDefault="00AA586E" w:rsidP="00AA586E">
      <w:pPr>
        <w:pStyle w:val="Heading4"/>
        <w:rPr>
          <w:rFonts w:ascii="Times New Roman" w:hAnsi="Times New Roman" w:cs="Times New Roman"/>
          <w:i w:val="0"/>
          <w:iCs w:val="0"/>
          <w:color w:val="auto"/>
        </w:rPr>
      </w:pPr>
      <w:r>
        <w:rPr>
          <w:rFonts w:ascii="Times New Roman" w:hAnsi="Times New Roman" w:cs="Times New Roman"/>
          <w:i w:val="0"/>
          <w:iCs w:val="0"/>
          <w:color w:val="auto"/>
        </w:rPr>
        <w:lastRenderedPageBreak/>
        <w:t xml:space="preserve">Sulfated </w:t>
      </w:r>
      <w:proofErr w:type="spellStart"/>
      <w:r w:rsidRPr="00EB79D2">
        <w:rPr>
          <w:rFonts w:ascii="Times New Roman" w:hAnsi="Times New Roman" w:cs="Times New Roman"/>
          <w:i w:val="0"/>
          <w:iCs w:val="0"/>
          <w:color w:val="auto"/>
        </w:rPr>
        <w:t>ashing</w:t>
      </w:r>
      <w:proofErr w:type="spellEnd"/>
      <w:r w:rsidRPr="00EB79D2">
        <w:rPr>
          <w:rFonts w:ascii="Times New Roman" w:hAnsi="Times New Roman" w:cs="Times New Roman"/>
          <w:i w:val="0"/>
          <w:iCs w:val="0"/>
          <w:color w:val="auto"/>
        </w:rPr>
        <w:t xml:space="preserve"> procedures are typically and preferentially performed in Pt° crucibles. Glassy carbon can be used but some attack may occur. Nickel and iron can also be used but the metal from the crucible can cause significant spectral interference</w:t>
      </w:r>
      <w:r>
        <w:rPr>
          <w:rFonts w:ascii="Times New Roman" w:hAnsi="Times New Roman" w:cs="Times New Roman"/>
          <w:i w:val="0"/>
          <w:iCs w:val="0"/>
          <w:color w:val="auto"/>
        </w:rPr>
        <w:t>.</w:t>
      </w:r>
    </w:p>
    <w:p w14:paraId="765EA92B" w14:textId="77777777" w:rsidR="00AA586E" w:rsidRPr="00AA0C9D" w:rsidRDefault="00AA586E" w:rsidP="00AA586E">
      <w:pPr>
        <w:pStyle w:val="Heading4"/>
        <w:rPr>
          <w:rFonts w:ascii="Times New Roman" w:hAnsi="Times New Roman" w:cs="Times New Roman"/>
          <w:i w:val="0"/>
          <w:iCs w:val="0"/>
          <w:color w:val="auto"/>
        </w:rPr>
      </w:pPr>
      <w:r w:rsidRPr="00AA0C9D">
        <w:rPr>
          <w:rFonts w:ascii="Times New Roman" w:hAnsi="Times New Roman" w:cs="Times New Roman"/>
          <w:i w:val="0"/>
          <w:iCs w:val="0"/>
          <w:color w:val="auto"/>
        </w:rPr>
        <w:t xml:space="preserve">A sample size ranging from a few milligrams to 100 grams is weighed into the crucible. </w:t>
      </w:r>
    </w:p>
    <w:p w14:paraId="4EB375D5" w14:textId="77777777" w:rsidR="005F4622" w:rsidRDefault="00AA586E" w:rsidP="00AA586E">
      <w:pPr>
        <w:pStyle w:val="Heading4"/>
        <w:rPr>
          <w:rFonts w:ascii="Times New Roman" w:hAnsi="Times New Roman" w:cs="Times New Roman"/>
          <w:i w:val="0"/>
          <w:iCs w:val="0"/>
          <w:color w:val="auto"/>
        </w:rPr>
      </w:pPr>
      <w:r w:rsidRPr="00AA0C9D">
        <w:rPr>
          <w:rFonts w:ascii="Times New Roman" w:hAnsi="Times New Roman" w:cs="Times New Roman"/>
          <w:i w:val="0"/>
          <w:iCs w:val="0"/>
          <w:color w:val="auto"/>
        </w:rPr>
        <w:t>The crucible is placed on a hot plate and set on the highest setting. This step needs to be performed in the fume hood. A Bunsen burner is helpful in speeding up the process and is necessary for the ignition of certain sample types such as polyethylene.</w:t>
      </w:r>
    </w:p>
    <w:p w14:paraId="030C216F" w14:textId="77777777" w:rsidR="00421A5C" w:rsidRDefault="005F4622" w:rsidP="00AA586E">
      <w:pPr>
        <w:pStyle w:val="Heading4"/>
        <w:rPr>
          <w:rFonts w:ascii="Times New Roman" w:hAnsi="Times New Roman" w:cs="Times New Roman"/>
          <w:i w:val="0"/>
          <w:iCs w:val="0"/>
          <w:color w:val="auto"/>
        </w:rPr>
      </w:pPr>
      <w:r w:rsidRPr="005F4622">
        <w:rPr>
          <w:rFonts w:ascii="Times New Roman" w:hAnsi="Times New Roman" w:cs="Times New Roman"/>
          <w:i w:val="0"/>
          <w:iCs w:val="0"/>
          <w:color w:val="auto"/>
        </w:rPr>
        <w:t xml:space="preserve">As soon as fumes cease to evolve, wet the char with concentrated sulfuric acid. </w:t>
      </w:r>
      <w:proofErr w:type="gramStart"/>
      <w:r w:rsidRPr="005F4622">
        <w:rPr>
          <w:rFonts w:ascii="Times New Roman" w:hAnsi="Times New Roman" w:cs="Times New Roman"/>
          <w:i w:val="0"/>
          <w:iCs w:val="0"/>
          <w:color w:val="auto"/>
        </w:rPr>
        <w:t>Typically</w:t>
      </w:r>
      <w:proofErr w:type="gramEnd"/>
      <w:r w:rsidRPr="005F4622">
        <w:rPr>
          <w:rFonts w:ascii="Times New Roman" w:hAnsi="Times New Roman" w:cs="Times New Roman"/>
          <w:i w:val="0"/>
          <w:iCs w:val="0"/>
          <w:color w:val="auto"/>
        </w:rPr>
        <w:t xml:space="preserve"> a few drops are required. Continue to heat the sample until the white dense sulfur trioxide fumes cease to evolve</w:t>
      </w:r>
      <w:r>
        <w:rPr>
          <w:rFonts w:ascii="Times New Roman" w:hAnsi="Times New Roman" w:cs="Times New Roman"/>
          <w:i w:val="0"/>
          <w:iCs w:val="0"/>
          <w:color w:val="auto"/>
        </w:rPr>
        <w:t>.</w:t>
      </w:r>
      <w:r w:rsidR="000A6774">
        <w:rPr>
          <w:rFonts w:ascii="Times New Roman" w:hAnsi="Times New Roman" w:cs="Times New Roman"/>
          <w:i w:val="0"/>
          <w:iCs w:val="0"/>
          <w:color w:val="auto"/>
        </w:rPr>
        <w:t xml:space="preserve"> </w:t>
      </w:r>
    </w:p>
    <w:p w14:paraId="288CDB3F" w14:textId="15B9FE9A" w:rsidR="00AA586E" w:rsidRDefault="00421A5C" w:rsidP="00AA586E">
      <w:pPr>
        <w:pStyle w:val="Heading4"/>
        <w:rPr>
          <w:rFonts w:ascii="Times New Roman" w:hAnsi="Times New Roman" w:cs="Times New Roman"/>
          <w:i w:val="0"/>
          <w:iCs w:val="0"/>
          <w:color w:val="auto"/>
        </w:rPr>
      </w:pPr>
      <w:r>
        <w:rPr>
          <w:rFonts w:ascii="Times New Roman" w:hAnsi="Times New Roman" w:cs="Times New Roman"/>
          <w:i w:val="0"/>
          <w:iCs w:val="0"/>
          <w:color w:val="auto"/>
        </w:rPr>
        <w:t>P</w:t>
      </w:r>
      <w:r w:rsidR="000A6774" w:rsidRPr="000A6774">
        <w:rPr>
          <w:rFonts w:ascii="Times New Roman" w:hAnsi="Times New Roman" w:cs="Times New Roman"/>
          <w:i w:val="0"/>
          <w:iCs w:val="0"/>
          <w:color w:val="auto"/>
        </w:rPr>
        <w:t xml:space="preserve">laced </w:t>
      </w:r>
      <w:r>
        <w:rPr>
          <w:rFonts w:ascii="Times New Roman" w:hAnsi="Times New Roman" w:cs="Times New Roman"/>
          <w:i w:val="0"/>
          <w:iCs w:val="0"/>
          <w:color w:val="auto"/>
        </w:rPr>
        <w:t xml:space="preserve">the sample </w:t>
      </w:r>
      <w:r w:rsidR="000A6774" w:rsidRPr="000A6774">
        <w:rPr>
          <w:rFonts w:ascii="Times New Roman" w:hAnsi="Times New Roman" w:cs="Times New Roman"/>
          <w:i w:val="0"/>
          <w:iCs w:val="0"/>
          <w:color w:val="auto"/>
        </w:rPr>
        <w:t xml:space="preserve">in a muffle furnace at 450 - 500 °C for one hour or until </w:t>
      </w:r>
      <w:proofErr w:type="gramStart"/>
      <w:r w:rsidR="000A6774" w:rsidRPr="000A6774">
        <w:rPr>
          <w:rFonts w:ascii="Times New Roman" w:hAnsi="Times New Roman" w:cs="Times New Roman"/>
          <w:i w:val="0"/>
          <w:iCs w:val="0"/>
          <w:color w:val="auto"/>
        </w:rPr>
        <w:t>all of</w:t>
      </w:r>
      <w:proofErr w:type="gramEnd"/>
      <w:r w:rsidR="000A6774" w:rsidRPr="000A6774">
        <w:rPr>
          <w:rFonts w:ascii="Times New Roman" w:hAnsi="Times New Roman" w:cs="Times New Roman"/>
          <w:i w:val="0"/>
          <w:iCs w:val="0"/>
          <w:color w:val="auto"/>
        </w:rPr>
        <w:t xml:space="preserve"> the carbon has been oxidized.</w:t>
      </w:r>
    </w:p>
    <w:p w14:paraId="2AE24B04" w14:textId="318DE3D1" w:rsidR="000A5596" w:rsidRDefault="007F11EC" w:rsidP="000A5596">
      <w:pPr>
        <w:pStyle w:val="Heading3"/>
      </w:pPr>
      <w:r w:rsidRPr="002155D7">
        <w:rPr>
          <w:b/>
          <w:bCs/>
        </w:rPr>
        <w:t xml:space="preserve">Wet </w:t>
      </w:r>
      <w:proofErr w:type="spellStart"/>
      <w:r w:rsidRPr="002155D7">
        <w:rPr>
          <w:b/>
          <w:bCs/>
        </w:rPr>
        <w:t>Ashing</w:t>
      </w:r>
      <w:proofErr w:type="spellEnd"/>
      <w:r w:rsidRPr="007F11EC">
        <w:t xml:space="preserve"> is treatment of the sample with a moderate amount of sulfuric acid before charring. Charring is performed using an open flame. Liquid samples tend to foam. After the excess sulfuric acid is driven off, the sample is muffled as above.</w:t>
      </w:r>
    </w:p>
    <w:p w14:paraId="2B699E1F" w14:textId="25BAA232" w:rsidR="00643688" w:rsidRDefault="00A55BED" w:rsidP="00A55BED">
      <w:pPr>
        <w:pStyle w:val="Heading3"/>
        <w:numPr>
          <w:ilvl w:val="0"/>
          <w:numId w:val="0"/>
        </w:numPr>
      </w:pPr>
      <w:r>
        <w:t xml:space="preserve">* </w:t>
      </w:r>
      <w:r w:rsidR="00A34F7A" w:rsidRPr="00A34F7A">
        <w:t xml:space="preserve">For more details regarding </w:t>
      </w:r>
      <w:proofErr w:type="spellStart"/>
      <w:r w:rsidR="004B580D">
        <w:t>ashing</w:t>
      </w:r>
      <w:proofErr w:type="spellEnd"/>
      <w:r w:rsidR="004B580D">
        <w:t xml:space="preserve"> procedures</w:t>
      </w:r>
      <w:r w:rsidR="00A34F7A" w:rsidRPr="00A34F7A">
        <w:t>, check the link</w:t>
      </w:r>
      <w:r w:rsidR="004B580D">
        <w:t>s</w:t>
      </w:r>
      <w:r w:rsidR="00A34F7A" w:rsidRPr="00A34F7A">
        <w:t xml:space="preserve"> below.</w:t>
      </w:r>
    </w:p>
    <w:p w14:paraId="64BE186B" w14:textId="77777777" w:rsidR="00CE5D31" w:rsidRDefault="00CE5D31" w:rsidP="00A55BED">
      <w:pPr>
        <w:pStyle w:val="Heading3"/>
        <w:numPr>
          <w:ilvl w:val="0"/>
          <w:numId w:val="0"/>
        </w:numPr>
      </w:pPr>
    </w:p>
    <w:p w14:paraId="6CA2F98C" w14:textId="77777777" w:rsidR="00CE5D31" w:rsidRDefault="00CE5D31" w:rsidP="00CE5D31">
      <w:pPr>
        <w:pStyle w:val="Heading1"/>
      </w:pPr>
      <w:r>
        <w:t>REFERENCES</w:t>
      </w:r>
    </w:p>
    <w:p w14:paraId="03ED14B6" w14:textId="7BCA5F1F" w:rsidR="004B580D" w:rsidRDefault="00A51EBC" w:rsidP="00A55BED">
      <w:pPr>
        <w:pStyle w:val="Heading3"/>
        <w:numPr>
          <w:ilvl w:val="0"/>
          <w:numId w:val="0"/>
        </w:numPr>
      </w:pPr>
      <w:hyperlink r:id="rId17" w:history="1">
        <w:r w:rsidRPr="003A35DD">
          <w:rPr>
            <w:rStyle w:val="Hyperlink"/>
          </w:rPr>
          <w:t>https://www.inorganicventures.com/trace-analysis-guide/ashing-procedures</w:t>
        </w:r>
      </w:hyperlink>
    </w:p>
    <w:p w14:paraId="7327441B" w14:textId="7F13DC8B" w:rsidR="003506AA" w:rsidRDefault="003506AA" w:rsidP="00A55BED">
      <w:pPr>
        <w:pStyle w:val="Heading3"/>
        <w:numPr>
          <w:ilvl w:val="0"/>
          <w:numId w:val="0"/>
        </w:numPr>
      </w:pPr>
      <w:hyperlink r:id="rId18" w:history="1">
        <w:r w:rsidRPr="006063E9">
          <w:rPr>
            <w:rStyle w:val="Hyperlink"/>
          </w:rPr>
          <w:t>https://www.inorganicventures.com/periodic-table</w:t>
        </w:r>
      </w:hyperlink>
    </w:p>
    <w:p w14:paraId="7F359804" w14:textId="77777777" w:rsidR="00CE5D31" w:rsidRDefault="00CE5D31" w:rsidP="00A55BED">
      <w:pPr>
        <w:pStyle w:val="Heading3"/>
        <w:numPr>
          <w:ilvl w:val="0"/>
          <w:numId w:val="0"/>
        </w:numPr>
      </w:pPr>
    </w:p>
    <w:p w14:paraId="6C5EA003" w14:textId="77777777" w:rsidR="002C5E71" w:rsidRDefault="002C5E71" w:rsidP="002C5E71">
      <w:pPr>
        <w:pStyle w:val="Heading1"/>
      </w:pPr>
      <w:r>
        <w:t>Training Records</w:t>
      </w:r>
    </w:p>
    <w:tbl>
      <w:tblPr>
        <w:tblStyle w:val="TableGrid"/>
        <w:tblW w:w="0" w:type="auto"/>
        <w:tblLook w:val="04A0" w:firstRow="1" w:lastRow="0" w:firstColumn="1" w:lastColumn="0" w:noHBand="0" w:noVBand="1"/>
      </w:tblPr>
      <w:tblGrid>
        <w:gridCol w:w="1525"/>
        <w:gridCol w:w="3510"/>
        <w:gridCol w:w="2250"/>
        <w:gridCol w:w="1980"/>
        <w:gridCol w:w="1525"/>
      </w:tblGrid>
      <w:tr w:rsidR="002C5E71" w14:paraId="3D11D1B2" w14:textId="77777777" w:rsidTr="00502B9B">
        <w:tc>
          <w:tcPr>
            <w:tcW w:w="1525" w:type="dxa"/>
            <w:vAlign w:val="bottom"/>
          </w:tcPr>
          <w:p w14:paraId="052D80DD" w14:textId="77777777" w:rsidR="002C5E71" w:rsidRPr="00A849A7" w:rsidRDefault="002C5E71" w:rsidP="00502B9B">
            <w:pPr>
              <w:pStyle w:val="Heading2"/>
              <w:numPr>
                <w:ilvl w:val="0"/>
                <w:numId w:val="0"/>
              </w:numPr>
              <w:rPr>
                <w:b/>
                <w:bCs/>
              </w:rPr>
            </w:pPr>
            <w:r w:rsidRPr="00A849A7">
              <w:rPr>
                <w:rFonts w:ascii="Aptos Narrow" w:hAnsi="Aptos Narrow"/>
                <w:b/>
                <w:bCs/>
                <w:color w:val="000000"/>
                <w:szCs w:val="22"/>
              </w:rPr>
              <w:t>Date</w:t>
            </w:r>
          </w:p>
        </w:tc>
        <w:tc>
          <w:tcPr>
            <w:tcW w:w="3510" w:type="dxa"/>
            <w:vAlign w:val="bottom"/>
          </w:tcPr>
          <w:p w14:paraId="3DB555CF" w14:textId="77777777" w:rsidR="002C5E71" w:rsidRPr="00A849A7" w:rsidRDefault="002C5E71" w:rsidP="00502B9B">
            <w:pPr>
              <w:pStyle w:val="Heading2"/>
              <w:numPr>
                <w:ilvl w:val="0"/>
                <w:numId w:val="0"/>
              </w:numPr>
              <w:rPr>
                <w:b/>
                <w:bCs/>
              </w:rPr>
            </w:pPr>
            <w:r w:rsidRPr="00A849A7">
              <w:rPr>
                <w:rFonts w:ascii="Aptos Narrow" w:hAnsi="Aptos Narrow"/>
                <w:b/>
                <w:bCs/>
                <w:color w:val="000000"/>
                <w:szCs w:val="22"/>
              </w:rPr>
              <w:t>Researcher's Name</w:t>
            </w:r>
          </w:p>
        </w:tc>
        <w:tc>
          <w:tcPr>
            <w:tcW w:w="2250" w:type="dxa"/>
            <w:vAlign w:val="bottom"/>
          </w:tcPr>
          <w:p w14:paraId="70A9B087" w14:textId="77777777" w:rsidR="002C5E71" w:rsidRPr="00A849A7" w:rsidRDefault="002C5E71" w:rsidP="00502B9B">
            <w:pPr>
              <w:pStyle w:val="Heading2"/>
              <w:numPr>
                <w:ilvl w:val="0"/>
                <w:numId w:val="0"/>
              </w:numPr>
              <w:rPr>
                <w:b/>
                <w:bCs/>
              </w:rPr>
            </w:pPr>
            <w:r w:rsidRPr="00A849A7">
              <w:rPr>
                <w:rFonts w:ascii="Aptos Narrow" w:hAnsi="Aptos Narrow"/>
                <w:b/>
                <w:bCs/>
                <w:color w:val="000000"/>
                <w:szCs w:val="22"/>
              </w:rPr>
              <w:t>WATIAM</w:t>
            </w:r>
          </w:p>
        </w:tc>
        <w:tc>
          <w:tcPr>
            <w:tcW w:w="1980" w:type="dxa"/>
            <w:vAlign w:val="bottom"/>
          </w:tcPr>
          <w:p w14:paraId="38E60C13" w14:textId="77777777" w:rsidR="002C5E71" w:rsidRPr="00A849A7" w:rsidRDefault="002C5E71" w:rsidP="00502B9B">
            <w:pPr>
              <w:pStyle w:val="Heading2"/>
              <w:numPr>
                <w:ilvl w:val="0"/>
                <w:numId w:val="0"/>
              </w:numPr>
              <w:rPr>
                <w:b/>
                <w:bCs/>
              </w:rPr>
            </w:pPr>
            <w:r w:rsidRPr="00A849A7">
              <w:rPr>
                <w:rFonts w:ascii="Aptos Narrow" w:hAnsi="Aptos Narrow"/>
                <w:b/>
                <w:bCs/>
                <w:color w:val="000000"/>
                <w:szCs w:val="22"/>
              </w:rPr>
              <w:t>Researcher Initials</w:t>
            </w:r>
          </w:p>
        </w:tc>
        <w:tc>
          <w:tcPr>
            <w:tcW w:w="1525" w:type="dxa"/>
            <w:vAlign w:val="bottom"/>
          </w:tcPr>
          <w:p w14:paraId="6C6A176E" w14:textId="77777777" w:rsidR="002C5E71" w:rsidRPr="00A849A7" w:rsidRDefault="002C5E71" w:rsidP="00502B9B">
            <w:pPr>
              <w:pStyle w:val="Heading2"/>
              <w:numPr>
                <w:ilvl w:val="0"/>
                <w:numId w:val="0"/>
              </w:numPr>
              <w:rPr>
                <w:b/>
                <w:bCs/>
              </w:rPr>
            </w:pPr>
            <w:r w:rsidRPr="00A849A7">
              <w:rPr>
                <w:rFonts w:ascii="Aptos Narrow" w:hAnsi="Aptos Narrow"/>
                <w:b/>
                <w:bCs/>
                <w:color w:val="000000"/>
                <w:szCs w:val="22"/>
              </w:rPr>
              <w:t>Trainer Initials</w:t>
            </w:r>
          </w:p>
        </w:tc>
      </w:tr>
      <w:tr w:rsidR="002C5E71" w14:paraId="60AF864A" w14:textId="77777777" w:rsidTr="00502B9B">
        <w:tc>
          <w:tcPr>
            <w:tcW w:w="1525" w:type="dxa"/>
          </w:tcPr>
          <w:p w14:paraId="6FA66185" w14:textId="77777777" w:rsidR="002C5E71" w:rsidRDefault="002C5E71" w:rsidP="00502B9B">
            <w:pPr>
              <w:pStyle w:val="Heading2"/>
              <w:numPr>
                <w:ilvl w:val="0"/>
                <w:numId w:val="0"/>
              </w:numPr>
            </w:pPr>
          </w:p>
        </w:tc>
        <w:tc>
          <w:tcPr>
            <w:tcW w:w="3510" w:type="dxa"/>
          </w:tcPr>
          <w:p w14:paraId="5CF80C92" w14:textId="77777777" w:rsidR="002C5E71" w:rsidRDefault="002C5E71" w:rsidP="00502B9B">
            <w:pPr>
              <w:pStyle w:val="Heading2"/>
              <w:numPr>
                <w:ilvl w:val="0"/>
                <w:numId w:val="0"/>
              </w:numPr>
            </w:pPr>
          </w:p>
        </w:tc>
        <w:tc>
          <w:tcPr>
            <w:tcW w:w="2250" w:type="dxa"/>
          </w:tcPr>
          <w:p w14:paraId="3307348D" w14:textId="77777777" w:rsidR="002C5E71" w:rsidRDefault="002C5E71" w:rsidP="00502B9B">
            <w:pPr>
              <w:pStyle w:val="Heading2"/>
              <w:numPr>
                <w:ilvl w:val="0"/>
                <w:numId w:val="0"/>
              </w:numPr>
            </w:pPr>
          </w:p>
        </w:tc>
        <w:tc>
          <w:tcPr>
            <w:tcW w:w="1980" w:type="dxa"/>
          </w:tcPr>
          <w:p w14:paraId="3677D433" w14:textId="77777777" w:rsidR="002C5E71" w:rsidRDefault="002C5E71" w:rsidP="00502B9B">
            <w:pPr>
              <w:pStyle w:val="Heading2"/>
              <w:numPr>
                <w:ilvl w:val="0"/>
                <w:numId w:val="0"/>
              </w:numPr>
            </w:pPr>
          </w:p>
        </w:tc>
        <w:tc>
          <w:tcPr>
            <w:tcW w:w="1525" w:type="dxa"/>
          </w:tcPr>
          <w:p w14:paraId="2E146D3D" w14:textId="77777777" w:rsidR="002C5E71" w:rsidRDefault="002C5E71" w:rsidP="00502B9B">
            <w:pPr>
              <w:pStyle w:val="Heading2"/>
              <w:numPr>
                <w:ilvl w:val="0"/>
                <w:numId w:val="0"/>
              </w:numPr>
            </w:pPr>
          </w:p>
        </w:tc>
      </w:tr>
      <w:tr w:rsidR="002C5E71" w14:paraId="71DEAE8F" w14:textId="77777777" w:rsidTr="00502B9B">
        <w:tc>
          <w:tcPr>
            <w:tcW w:w="1525" w:type="dxa"/>
          </w:tcPr>
          <w:p w14:paraId="48BFA983" w14:textId="77777777" w:rsidR="002C5E71" w:rsidRDefault="002C5E71" w:rsidP="00502B9B">
            <w:pPr>
              <w:pStyle w:val="Heading2"/>
              <w:numPr>
                <w:ilvl w:val="0"/>
                <w:numId w:val="0"/>
              </w:numPr>
            </w:pPr>
          </w:p>
        </w:tc>
        <w:tc>
          <w:tcPr>
            <w:tcW w:w="3510" w:type="dxa"/>
          </w:tcPr>
          <w:p w14:paraId="7BD6DE41" w14:textId="77777777" w:rsidR="002C5E71" w:rsidRDefault="002C5E71" w:rsidP="00502B9B">
            <w:pPr>
              <w:pStyle w:val="Heading2"/>
              <w:numPr>
                <w:ilvl w:val="0"/>
                <w:numId w:val="0"/>
              </w:numPr>
            </w:pPr>
          </w:p>
        </w:tc>
        <w:tc>
          <w:tcPr>
            <w:tcW w:w="2250" w:type="dxa"/>
          </w:tcPr>
          <w:p w14:paraId="7D195161" w14:textId="77777777" w:rsidR="002C5E71" w:rsidRDefault="002C5E71" w:rsidP="00502B9B">
            <w:pPr>
              <w:pStyle w:val="Heading2"/>
              <w:numPr>
                <w:ilvl w:val="0"/>
                <w:numId w:val="0"/>
              </w:numPr>
            </w:pPr>
          </w:p>
        </w:tc>
        <w:tc>
          <w:tcPr>
            <w:tcW w:w="1980" w:type="dxa"/>
          </w:tcPr>
          <w:p w14:paraId="4F53FA7C" w14:textId="77777777" w:rsidR="002C5E71" w:rsidRDefault="002C5E71" w:rsidP="00502B9B">
            <w:pPr>
              <w:pStyle w:val="Heading2"/>
              <w:numPr>
                <w:ilvl w:val="0"/>
                <w:numId w:val="0"/>
              </w:numPr>
            </w:pPr>
          </w:p>
        </w:tc>
        <w:tc>
          <w:tcPr>
            <w:tcW w:w="1525" w:type="dxa"/>
          </w:tcPr>
          <w:p w14:paraId="63BD57D0" w14:textId="77777777" w:rsidR="002C5E71" w:rsidRDefault="002C5E71" w:rsidP="00502B9B">
            <w:pPr>
              <w:pStyle w:val="Heading2"/>
              <w:numPr>
                <w:ilvl w:val="0"/>
                <w:numId w:val="0"/>
              </w:numPr>
            </w:pPr>
          </w:p>
        </w:tc>
      </w:tr>
      <w:tr w:rsidR="002C5E71" w14:paraId="7B5CF6BC" w14:textId="77777777" w:rsidTr="00502B9B">
        <w:tc>
          <w:tcPr>
            <w:tcW w:w="1525" w:type="dxa"/>
          </w:tcPr>
          <w:p w14:paraId="06DBA8A7" w14:textId="77777777" w:rsidR="002C5E71" w:rsidRDefault="002C5E71" w:rsidP="00502B9B">
            <w:pPr>
              <w:pStyle w:val="Heading2"/>
              <w:numPr>
                <w:ilvl w:val="0"/>
                <w:numId w:val="0"/>
              </w:numPr>
            </w:pPr>
          </w:p>
        </w:tc>
        <w:tc>
          <w:tcPr>
            <w:tcW w:w="3510" w:type="dxa"/>
          </w:tcPr>
          <w:p w14:paraId="33E1B628" w14:textId="77777777" w:rsidR="002C5E71" w:rsidRDefault="002C5E71" w:rsidP="00502B9B">
            <w:pPr>
              <w:pStyle w:val="Heading2"/>
              <w:numPr>
                <w:ilvl w:val="0"/>
                <w:numId w:val="0"/>
              </w:numPr>
            </w:pPr>
          </w:p>
        </w:tc>
        <w:tc>
          <w:tcPr>
            <w:tcW w:w="2250" w:type="dxa"/>
          </w:tcPr>
          <w:p w14:paraId="7515EBCD" w14:textId="77777777" w:rsidR="002C5E71" w:rsidRDefault="002C5E71" w:rsidP="00502B9B">
            <w:pPr>
              <w:pStyle w:val="Heading2"/>
              <w:numPr>
                <w:ilvl w:val="0"/>
                <w:numId w:val="0"/>
              </w:numPr>
            </w:pPr>
          </w:p>
        </w:tc>
        <w:tc>
          <w:tcPr>
            <w:tcW w:w="1980" w:type="dxa"/>
          </w:tcPr>
          <w:p w14:paraId="65041E6B" w14:textId="77777777" w:rsidR="002C5E71" w:rsidRDefault="002C5E71" w:rsidP="00502B9B">
            <w:pPr>
              <w:pStyle w:val="Heading2"/>
              <w:numPr>
                <w:ilvl w:val="0"/>
                <w:numId w:val="0"/>
              </w:numPr>
            </w:pPr>
          </w:p>
        </w:tc>
        <w:tc>
          <w:tcPr>
            <w:tcW w:w="1525" w:type="dxa"/>
          </w:tcPr>
          <w:p w14:paraId="6A0FCDF4" w14:textId="77777777" w:rsidR="002C5E71" w:rsidRDefault="002C5E71" w:rsidP="00502B9B">
            <w:pPr>
              <w:pStyle w:val="Heading2"/>
              <w:numPr>
                <w:ilvl w:val="0"/>
                <w:numId w:val="0"/>
              </w:numPr>
            </w:pPr>
          </w:p>
        </w:tc>
      </w:tr>
      <w:tr w:rsidR="002C5E71" w14:paraId="14301E9E" w14:textId="77777777" w:rsidTr="00502B9B">
        <w:tc>
          <w:tcPr>
            <w:tcW w:w="1525" w:type="dxa"/>
          </w:tcPr>
          <w:p w14:paraId="3664B31B" w14:textId="77777777" w:rsidR="002C5E71" w:rsidRDefault="002C5E71" w:rsidP="00502B9B">
            <w:pPr>
              <w:pStyle w:val="Heading2"/>
              <w:numPr>
                <w:ilvl w:val="0"/>
                <w:numId w:val="0"/>
              </w:numPr>
            </w:pPr>
          </w:p>
        </w:tc>
        <w:tc>
          <w:tcPr>
            <w:tcW w:w="3510" w:type="dxa"/>
          </w:tcPr>
          <w:p w14:paraId="5037DB43" w14:textId="77777777" w:rsidR="002C5E71" w:rsidRDefault="002C5E71" w:rsidP="00502B9B">
            <w:pPr>
              <w:pStyle w:val="Heading2"/>
              <w:numPr>
                <w:ilvl w:val="0"/>
                <w:numId w:val="0"/>
              </w:numPr>
            </w:pPr>
          </w:p>
        </w:tc>
        <w:tc>
          <w:tcPr>
            <w:tcW w:w="2250" w:type="dxa"/>
          </w:tcPr>
          <w:p w14:paraId="09E38BFC" w14:textId="77777777" w:rsidR="002C5E71" w:rsidRDefault="002C5E71" w:rsidP="00502B9B">
            <w:pPr>
              <w:pStyle w:val="Heading2"/>
              <w:numPr>
                <w:ilvl w:val="0"/>
                <w:numId w:val="0"/>
              </w:numPr>
            </w:pPr>
          </w:p>
        </w:tc>
        <w:tc>
          <w:tcPr>
            <w:tcW w:w="1980" w:type="dxa"/>
          </w:tcPr>
          <w:p w14:paraId="797DF293" w14:textId="77777777" w:rsidR="002C5E71" w:rsidRDefault="002C5E71" w:rsidP="00502B9B">
            <w:pPr>
              <w:pStyle w:val="Heading2"/>
              <w:numPr>
                <w:ilvl w:val="0"/>
                <w:numId w:val="0"/>
              </w:numPr>
            </w:pPr>
          </w:p>
        </w:tc>
        <w:tc>
          <w:tcPr>
            <w:tcW w:w="1525" w:type="dxa"/>
          </w:tcPr>
          <w:p w14:paraId="6FCFDBCC" w14:textId="77777777" w:rsidR="002C5E71" w:rsidRDefault="002C5E71" w:rsidP="00502B9B">
            <w:pPr>
              <w:pStyle w:val="Heading2"/>
              <w:numPr>
                <w:ilvl w:val="0"/>
                <w:numId w:val="0"/>
              </w:numPr>
            </w:pPr>
          </w:p>
        </w:tc>
      </w:tr>
      <w:tr w:rsidR="002C5E71" w14:paraId="47A291DE" w14:textId="77777777" w:rsidTr="00502B9B">
        <w:tc>
          <w:tcPr>
            <w:tcW w:w="1525" w:type="dxa"/>
          </w:tcPr>
          <w:p w14:paraId="15135078" w14:textId="77777777" w:rsidR="002C5E71" w:rsidRDefault="002C5E71" w:rsidP="00502B9B">
            <w:pPr>
              <w:pStyle w:val="Heading2"/>
              <w:numPr>
                <w:ilvl w:val="0"/>
                <w:numId w:val="0"/>
              </w:numPr>
            </w:pPr>
          </w:p>
        </w:tc>
        <w:tc>
          <w:tcPr>
            <w:tcW w:w="3510" w:type="dxa"/>
          </w:tcPr>
          <w:p w14:paraId="2102C07F" w14:textId="77777777" w:rsidR="002C5E71" w:rsidRDefault="002C5E71" w:rsidP="00502B9B">
            <w:pPr>
              <w:pStyle w:val="Heading2"/>
              <w:numPr>
                <w:ilvl w:val="0"/>
                <w:numId w:val="0"/>
              </w:numPr>
            </w:pPr>
          </w:p>
        </w:tc>
        <w:tc>
          <w:tcPr>
            <w:tcW w:w="2250" w:type="dxa"/>
          </w:tcPr>
          <w:p w14:paraId="019F84C2" w14:textId="77777777" w:rsidR="002C5E71" w:rsidRDefault="002C5E71" w:rsidP="00502B9B">
            <w:pPr>
              <w:pStyle w:val="Heading2"/>
              <w:numPr>
                <w:ilvl w:val="0"/>
                <w:numId w:val="0"/>
              </w:numPr>
            </w:pPr>
          </w:p>
        </w:tc>
        <w:tc>
          <w:tcPr>
            <w:tcW w:w="1980" w:type="dxa"/>
          </w:tcPr>
          <w:p w14:paraId="5FB4B7ED" w14:textId="77777777" w:rsidR="002C5E71" w:rsidRDefault="002C5E71" w:rsidP="00502B9B">
            <w:pPr>
              <w:pStyle w:val="Heading2"/>
              <w:numPr>
                <w:ilvl w:val="0"/>
                <w:numId w:val="0"/>
              </w:numPr>
            </w:pPr>
          </w:p>
        </w:tc>
        <w:tc>
          <w:tcPr>
            <w:tcW w:w="1525" w:type="dxa"/>
          </w:tcPr>
          <w:p w14:paraId="3300FACE" w14:textId="77777777" w:rsidR="002C5E71" w:rsidRDefault="002C5E71" w:rsidP="00502B9B">
            <w:pPr>
              <w:pStyle w:val="Heading2"/>
              <w:numPr>
                <w:ilvl w:val="0"/>
                <w:numId w:val="0"/>
              </w:numPr>
            </w:pPr>
          </w:p>
        </w:tc>
      </w:tr>
      <w:tr w:rsidR="002C5E71" w14:paraId="4B0831F8" w14:textId="77777777" w:rsidTr="00502B9B">
        <w:tc>
          <w:tcPr>
            <w:tcW w:w="1525" w:type="dxa"/>
          </w:tcPr>
          <w:p w14:paraId="42C2D41B" w14:textId="77777777" w:rsidR="002C5E71" w:rsidRDefault="002C5E71" w:rsidP="00502B9B">
            <w:pPr>
              <w:pStyle w:val="Heading2"/>
              <w:numPr>
                <w:ilvl w:val="0"/>
                <w:numId w:val="0"/>
              </w:numPr>
            </w:pPr>
          </w:p>
        </w:tc>
        <w:tc>
          <w:tcPr>
            <w:tcW w:w="3510" w:type="dxa"/>
          </w:tcPr>
          <w:p w14:paraId="474FDD36" w14:textId="77777777" w:rsidR="002C5E71" w:rsidRDefault="002C5E71" w:rsidP="00502B9B">
            <w:pPr>
              <w:pStyle w:val="Heading2"/>
              <w:numPr>
                <w:ilvl w:val="0"/>
                <w:numId w:val="0"/>
              </w:numPr>
            </w:pPr>
          </w:p>
        </w:tc>
        <w:tc>
          <w:tcPr>
            <w:tcW w:w="2250" w:type="dxa"/>
          </w:tcPr>
          <w:p w14:paraId="5DE62C71" w14:textId="77777777" w:rsidR="002C5E71" w:rsidRDefault="002C5E71" w:rsidP="00502B9B">
            <w:pPr>
              <w:pStyle w:val="Heading2"/>
              <w:numPr>
                <w:ilvl w:val="0"/>
                <w:numId w:val="0"/>
              </w:numPr>
            </w:pPr>
          </w:p>
        </w:tc>
        <w:tc>
          <w:tcPr>
            <w:tcW w:w="1980" w:type="dxa"/>
          </w:tcPr>
          <w:p w14:paraId="6243E45C" w14:textId="77777777" w:rsidR="002C5E71" w:rsidRDefault="002C5E71" w:rsidP="00502B9B">
            <w:pPr>
              <w:pStyle w:val="Heading2"/>
              <w:numPr>
                <w:ilvl w:val="0"/>
                <w:numId w:val="0"/>
              </w:numPr>
            </w:pPr>
          </w:p>
        </w:tc>
        <w:tc>
          <w:tcPr>
            <w:tcW w:w="1525" w:type="dxa"/>
          </w:tcPr>
          <w:p w14:paraId="619C7A2E" w14:textId="77777777" w:rsidR="002C5E71" w:rsidRDefault="002C5E71" w:rsidP="00502B9B">
            <w:pPr>
              <w:pStyle w:val="Heading2"/>
              <w:numPr>
                <w:ilvl w:val="0"/>
                <w:numId w:val="0"/>
              </w:numPr>
            </w:pPr>
          </w:p>
        </w:tc>
      </w:tr>
      <w:tr w:rsidR="002C5E71" w14:paraId="4D03CEAF" w14:textId="77777777" w:rsidTr="00502B9B">
        <w:tc>
          <w:tcPr>
            <w:tcW w:w="1525" w:type="dxa"/>
          </w:tcPr>
          <w:p w14:paraId="1471C938" w14:textId="77777777" w:rsidR="002C5E71" w:rsidRDefault="002C5E71" w:rsidP="00502B9B">
            <w:pPr>
              <w:pStyle w:val="Heading2"/>
              <w:numPr>
                <w:ilvl w:val="0"/>
                <w:numId w:val="0"/>
              </w:numPr>
            </w:pPr>
          </w:p>
        </w:tc>
        <w:tc>
          <w:tcPr>
            <w:tcW w:w="3510" w:type="dxa"/>
          </w:tcPr>
          <w:p w14:paraId="6C411FD0" w14:textId="77777777" w:rsidR="002C5E71" w:rsidRDefault="002C5E71" w:rsidP="00502B9B">
            <w:pPr>
              <w:pStyle w:val="Heading2"/>
              <w:numPr>
                <w:ilvl w:val="0"/>
                <w:numId w:val="0"/>
              </w:numPr>
            </w:pPr>
          </w:p>
        </w:tc>
        <w:tc>
          <w:tcPr>
            <w:tcW w:w="2250" w:type="dxa"/>
          </w:tcPr>
          <w:p w14:paraId="196E70CA" w14:textId="77777777" w:rsidR="002C5E71" w:rsidRDefault="002C5E71" w:rsidP="00502B9B">
            <w:pPr>
              <w:pStyle w:val="Heading2"/>
              <w:numPr>
                <w:ilvl w:val="0"/>
                <w:numId w:val="0"/>
              </w:numPr>
            </w:pPr>
          </w:p>
        </w:tc>
        <w:tc>
          <w:tcPr>
            <w:tcW w:w="1980" w:type="dxa"/>
          </w:tcPr>
          <w:p w14:paraId="3CE9C389" w14:textId="77777777" w:rsidR="002C5E71" w:rsidRDefault="002C5E71" w:rsidP="00502B9B">
            <w:pPr>
              <w:pStyle w:val="Heading2"/>
              <w:numPr>
                <w:ilvl w:val="0"/>
                <w:numId w:val="0"/>
              </w:numPr>
            </w:pPr>
          </w:p>
        </w:tc>
        <w:tc>
          <w:tcPr>
            <w:tcW w:w="1525" w:type="dxa"/>
          </w:tcPr>
          <w:p w14:paraId="6EFF238D" w14:textId="77777777" w:rsidR="002C5E71" w:rsidRDefault="002C5E71" w:rsidP="00502B9B">
            <w:pPr>
              <w:pStyle w:val="Heading2"/>
              <w:numPr>
                <w:ilvl w:val="0"/>
                <w:numId w:val="0"/>
              </w:numPr>
            </w:pPr>
          </w:p>
        </w:tc>
      </w:tr>
    </w:tbl>
    <w:p w14:paraId="4BBA66FE" w14:textId="77777777" w:rsidR="00CE5D31" w:rsidRDefault="00CE5D31" w:rsidP="00A55BED">
      <w:pPr>
        <w:pStyle w:val="Heading3"/>
        <w:numPr>
          <w:ilvl w:val="0"/>
          <w:numId w:val="0"/>
        </w:numPr>
      </w:pPr>
    </w:p>
    <w:sectPr w:rsidR="00CE5D31" w:rsidSect="00616140">
      <w:headerReference w:type="default" r:id="rId19"/>
      <w:footerReference w:type="defaul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A21C" w14:textId="77777777" w:rsidR="007A1F83" w:rsidRDefault="007A1F83" w:rsidP="00616140">
      <w:pPr>
        <w:spacing w:after="0" w:line="240" w:lineRule="auto"/>
      </w:pPr>
      <w:r>
        <w:separator/>
      </w:r>
    </w:p>
  </w:endnote>
  <w:endnote w:type="continuationSeparator" w:id="0">
    <w:p w14:paraId="061FA448" w14:textId="77777777" w:rsidR="007A1F83" w:rsidRDefault="007A1F83" w:rsidP="00616140">
      <w:pPr>
        <w:spacing w:after="0" w:line="240" w:lineRule="auto"/>
      </w:pPr>
      <w:r>
        <w:continuationSeparator/>
      </w:r>
    </w:p>
  </w:endnote>
  <w:endnote w:type="continuationNotice" w:id="1">
    <w:p w14:paraId="7907246A" w14:textId="77777777" w:rsidR="007A1F83" w:rsidRDefault="007A1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923027416"/>
      <w:docPartObj>
        <w:docPartGallery w:val="Page Numbers (Bottom of Page)"/>
        <w:docPartUnique/>
      </w:docPartObj>
    </w:sdtPr>
    <w:sdtEndPr/>
    <w:sdtContent>
      <w:p w14:paraId="08F7EDAD" w14:textId="5ECE0FBE" w:rsidR="00616140" w:rsidRPr="00616140" w:rsidRDefault="00616140" w:rsidP="00616140">
        <w:pPr>
          <w:pStyle w:val="Footer"/>
          <w:jc w:val="right"/>
          <w:rPr>
            <w:rFonts w:cs="Times New Roman"/>
            <w:noProof/>
          </w:rPr>
        </w:pPr>
        <w:r w:rsidRPr="00616140">
          <w:rPr>
            <w:rFonts w:cs="Times New Roman"/>
          </w:rPr>
          <w:t xml:space="preserve">Page </w:t>
        </w:r>
        <w:r w:rsidRPr="00616140">
          <w:rPr>
            <w:rFonts w:cs="Times New Roman"/>
          </w:rPr>
          <w:fldChar w:fldCharType="begin"/>
        </w:r>
        <w:r w:rsidRPr="00616140">
          <w:rPr>
            <w:rFonts w:cs="Times New Roman"/>
          </w:rPr>
          <w:instrText xml:space="preserve"> PAGE   \* MERGEFORMAT </w:instrText>
        </w:r>
        <w:r w:rsidRPr="00616140">
          <w:rPr>
            <w:rFonts w:cs="Times New Roman"/>
          </w:rPr>
          <w:fldChar w:fldCharType="separate"/>
        </w:r>
        <w:r w:rsidRPr="00616140">
          <w:rPr>
            <w:rFonts w:cs="Times New Roman"/>
          </w:rPr>
          <w:t>1</w:t>
        </w:r>
        <w:r w:rsidRPr="00616140">
          <w:rPr>
            <w:rFonts w:cs="Times New Roman"/>
            <w:noProof/>
          </w:rPr>
          <w:fldChar w:fldCharType="end"/>
        </w:r>
        <w:r w:rsidRPr="00616140">
          <w:rPr>
            <w:rFonts w:cs="Times New Roman"/>
            <w:noProof/>
          </w:rPr>
          <w:t xml:space="preserve"> of </w:t>
        </w:r>
        <w:r w:rsidRPr="00616140">
          <w:rPr>
            <w:rFonts w:cs="Times New Roman"/>
            <w:noProof/>
          </w:rPr>
          <w:fldChar w:fldCharType="begin"/>
        </w:r>
        <w:r w:rsidRPr="00616140">
          <w:rPr>
            <w:rFonts w:cs="Times New Roman"/>
            <w:noProof/>
          </w:rPr>
          <w:instrText xml:space="preserve"> NUMPAGES  \* Arabic  \* MERGEFORMAT </w:instrText>
        </w:r>
        <w:r w:rsidRPr="00616140">
          <w:rPr>
            <w:rFonts w:cs="Times New Roman"/>
            <w:noProof/>
          </w:rPr>
          <w:fldChar w:fldCharType="separate"/>
        </w:r>
        <w:r w:rsidRPr="00616140">
          <w:rPr>
            <w:rFonts w:cs="Times New Roman"/>
            <w:noProof/>
          </w:rPr>
          <w:t>3</w:t>
        </w:r>
        <w:r w:rsidRPr="00616140">
          <w:rPr>
            <w:rFonts w:cs="Times New Roman"/>
            <w:noProof/>
          </w:rPr>
          <w:fldChar w:fldCharType="end"/>
        </w:r>
        <w:r w:rsidRPr="00616140">
          <w:rPr>
            <w:rFonts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16EB" w14:textId="77777777" w:rsidR="007A1F83" w:rsidRDefault="007A1F83" w:rsidP="00616140">
      <w:pPr>
        <w:spacing w:after="0" w:line="240" w:lineRule="auto"/>
      </w:pPr>
      <w:r>
        <w:separator/>
      </w:r>
    </w:p>
  </w:footnote>
  <w:footnote w:type="continuationSeparator" w:id="0">
    <w:p w14:paraId="056C3806" w14:textId="77777777" w:rsidR="007A1F83" w:rsidRDefault="007A1F83" w:rsidP="00616140">
      <w:pPr>
        <w:spacing w:after="0" w:line="240" w:lineRule="auto"/>
      </w:pPr>
      <w:r>
        <w:continuationSeparator/>
      </w:r>
    </w:p>
  </w:footnote>
  <w:footnote w:type="continuationNotice" w:id="1">
    <w:p w14:paraId="65ABEE37" w14:textId="77777777" w:rsidR="007A1F83" w:rsidRDefault="007A1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2557"/>
      <w:gridCol w:w="3969"/>
      <w:gridCol w:w="1859"/>
    </w:tblGrid>
    <w:tr w:rsidR="00616140" w:rsidRPr="004F009A" w14:paraId="61BB8DA1" w14:textId="77777777" w:rsidTr="00486479">
      <w:tc>
        <w:tcPr>
          <w:tcW w:w="2122" w:type="dxa"/>
        </w:tcPr>
        <w:p w14:paraId="4A5BD563" w14:textId="6C3655D3" w:rsidR="00616140" w:rsidRDefault="00616140" w:rsidP="00616140">
          <w:pPr>
            <w:pStyle w:val="Header"/>
            <w:jc w:val="left"/>
            <w:rPr>
              <w:rFonts w:ascii="Arial" w:hAnsi="Arial" w:cs="Arial"/>
            </w:rPr>
          </w:pPr>
          <w:r>
            <w:rPr>
              <w:noProof/>
            </w:rPr>
            <w:drawing>
              <wp:anchor distT="0" distB="0" distL="114300" distR="114300" simplePos="0" relativeHeight="251658240" behindDoc="0" locked="0" layoutInCell="1" allowOverlap="1" wp14:anchorId="34FC28F6" wp14:editId="77C0C6C1">
                <wp:simplePos x="0" y="0"/>
                <wp:positionH relativeFrom="column">
                  <wp:posOffset>-68580</wp:posOffset>
                </wp:positionH>
                <wp:positionV relativeFrom="paragraph">
                  <wp:posOffset>7620</wp:posOffset>
                </wp:positionV>
                <wp:extent cx="1212850" cy="313783"/>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946" t="24923" r="11385" b="25521"/>
                        <a:stretch/>
                      </pic:blipFill>
                      <pic:spPr bwMode="auto">
                        <a:xfrm>
                          <a:off x="0" y="0"/>
                          <a:ext cx="1222721" cy="316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 w:type="dxa"/>
        </w:tcPr>
        <w:p w14:paraId="4016117B" w14:textId="77777777" w:rsidR="00616140" w:rsidRDefault="00616140" w:rsidP="00616140">
          <w:pPr>
            <w:pStyle w:val="Header"/>
            <w:jc w:val="center"/>
            <w:rPr>
              <w:rFonts w:ascii="Arial" w:hAnsi="Arial" w:cs="Arial"/>
            </w:rPr>
          </w:pPr>
        </w:p>
      </w:tc>
      <w:tc>
        <w:tcPr>
          <w:tcW w:w="8385" w:type="dxa"/>
          <w:gridSpan w:val="3"/>
        </w:tcPr>
        <w:p w14:paraId="29A95F58" w14:textId="77777777" w:rsidR="00616140" w:rsidRPr="004F009A" w:rsidRDefault="00616140" w:rsidP="00616140">
          <w:pPr>
            <w:pStyle w:val="Header"/>
            <w:jc w:val="right"/>
            <w:rPr>
              <w:rFonts w:ascii="Arial" w:hAnsi="Arial" w:cs="Arial"/>
              <w:b/>
              <w:bCs/>
              <w:sz w:val="16"/>
              <w:szCs w:val="16"/>
            </w:rPr>
          </w:pPr>
          <w:r w:rsidRPr="004F009A">
            <w:rPr>
              <w:rFonts w:ascii="Arial" w:hAnsi="Arial" w:cs="Arial"/>
              <w:b/>
              <w:bCs/>
              <w:sz w:val="16"/>
              <w:szCs w:val="16"/>
            </w:rPr>
            <w:t>Analytical Laboratory / Department of Chemical Engineering</w:t>
          </w:r>
        </w:p>
      </w:tc>
    </w:tr>
    <w:tr w:rsidR="00616140" w14:paraId="1262CDC2" w14:textId="77777777" w:rsidTr="00486479">
      <w:tc>
        <w:tcPr>
          <w:tcW w:w="2122" w:type="dxa"/>
          <w:tcBorders>
            <w:bottom w:val="single" w:sz="4" w:space="0" w:color="auto"/>
          </w:tcBorders>
        </w:tcPr>
        <w:p w14:paraId="73355172" w14:textId="6286E61A" w:rsidR="00616140" w:rsidRDefault="00616140" w:rsidP="00616140">
          <w:pPr>
            <w:pStyle w:val="Header"/>
            <w:jc w:val="right"/>
            <w:rPr>
              <w:rFonts w:ascii="Arial" w:hAnsi="Arial" w:cs="Arial"/>
            </w:rPr>
          </w:pPr>
        </w:p>
      </w:tc>
      <w:tc>
        <w:tcPr>
          <w:tcW w:w="283" w:type="dxa"/>
          <w:tcBorders>
            <w:bottom w:val="single" w:sz="4" w:space="0" w:color="auto"/>
          </w:tcBorders>
        </w:tcPr>
        <w:p w14:paraId="5F827B32" w14:textId="77777777" w:rsidR="00616140" w:rsidRDefault="00616140" w:rsidP="00616140">
          <w:pPr>
            <w:pStyle w:val="Header"/>
            <w:jc w:val="center"/>
            <w:rPr>
              <w:rFonts w:ascii="Arial" w:hAnsi="Arial" w:cs="Arial"/>
            </w:rPr>
          </w:pPr>
        </w:p>
      </w:tc>
      <w:tc>
        <w:tcPr>
          <w:tcW w:w="8385" w:type="dxa"/>
          <w:gridSpan w:val="3"/>
          <w:tcBorders>
            <w:bottom w:val="single" w:sz="4" w:space="0" w:color="auto"/>
          </w:tcBorders>
        </w:tcPr>
        <w:p w14:paraId="2BBD25E0" w14:textId="77777777" w:rsidR="00616140" w:rsidRPr="00D231FB" w:rsidRDefault="00616140" w:rsidP="00616140">
          <w:pPr>
            <w:pStyle w:val="Header"/>
            <w:spacing w:before="60"/>
            <w:jc w:val="right"/>
            <w:rPr>
              <w:rFonts w:ascii="Arial" w:hAnsi="Arial" w:cs="Arial"/>
              <w:sz w:val="16"/>
              <w:szCs w:val="16"/>
            </w:rPr>
          </w:pPr>
          <w:r>
            <w:rPr>
              <w:rFonts w:ascii="Arial" w:hAnsi="Arial" w:cs="Arial"/>
              <w:sz w:val="16"/>
              <w:szCs w:val="16"/>
            </w:rPr>
            <w:t>E6</w:t>
          </w:r>
          <w:r w:rsidRPr="00D231FB">
            <w:rPr>
              <w:rFonts w:ascii="Arial" w:hAnsi="Arial" w:cs="Arial"/>
              <w:sz w:val="16"/>
              <w:szCs w:val="16"/>
            </w:rPr>
            <w:t xml:space="preserve"> 310</w:t>
          </w:r>
          <w:r>
            <w:rPr>
              <w:rFonts w:ascii="Arial" w:hAnsi="Arial" w:cs="Arial"/>
              <w:sz w:val="16"/>
              <w:szCs w:val="16"/>
            </w:rPr>
            <w:t xml:space="preserve">9, 200 University Ave W, Waterloo ON </w:t>
          </w:r>
          <w:r w:rsidRPr="00D231FB">
            <w:rPr>
              <w:rFonts w:ascii="Arial" w:hAnsi="Arial" w:cs="Arial"/>
              <w:sz w:val="16"/>
              <w:szCs w:val="16"/>
            </w:rPr>
            <w:t>N2L 3G1</w:t>
          </w:r>
        </w:p>
      </w:tc>
    </w:tr>
    <w:tr w:rsidR="00616140" w14:paraId="7EFB3A28" w14:textId="77777777" w:rsidTr="00486479">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B192E1" w14:textId="77777777" w:rsidR="00B12707" w:rsidRDefault="00616140" w:rsidP="00616140">
          <w:pPr>
            <w:pStyle w:val="Header"/>
            <w:spacing w:before="120" w:after="120"/>
            <w:jc w:val="center"/>
            <w:rPr>
              <w:rFonts w:ascii="Arial" w:hAnsi="Arial" w:cs="Arial"/>
              <w:b/>
              <w:bCs/>
            </w:rPr>
          </w:pPr>
          <w:r w:rsidRPr="009A7F78">
            <w:rPr>
              <w:rFonts w:ascii="Arial" w:hAnsi="Arial" w:cs="Arial"/>
              <w:b/>
              <w:bCs/>
            </w:rPr>
            <w:t xml:space="preserve">Title: </w:t>
          </w:r>
          <w:r w:rsidR="0002558A" w:rsidRPr="004F009A">
            <w:rPr>
              <w:rFonts w:ascii="Arial" w:hAnsi="Arial" w:cs="Arial"/>
              <w:b/>
              <w:bCs/>
            </w:rPr>
            <w:t xml:space="preserve">Operating Procedure </w:t>
          </w:r>
          <w:r w:rsidR="0002558A">
            <w:rPr>
              <w:rFonts w:ascii="Arial" w:hAnsi="Arial" w:cs="Arial"/>
              <w:b/>
              <w:bCs/>
            </w:rPr>
            <w:t xml:space="preserve">for </w:t>
          </w:r>
          <w:r w:rsidR="00B12707">
            <w:rPr>
              <w:rFonts w:ascii="Arial" w:hAnsi="Arial" w:cs="Arial"/>
              <w:b/>
              <w:bCs/>
            </w:rPr>
            <w:t>I</w:t>
          </w:r>
          <w:r w:rsidR="00F035FE" w:rsidRPr="00F035FE">
            <w:rPr>
              <w:rFonts w:ascii="Arial" w:hAnsi="Arial" w:cs="Arial"/>
              <w:b/>
              <w:bCs/>
            </w:rPr>
            <w:t xml:space="preserve">nductively </w:t>
          </w:r>
          <w:r w:rsidR="00B12707">
            <w:rPr>
              <w:rFonts w:ascii="Arial" w:hAnsi="Arial" w:cs="Arial"/>
              <w:b/>
              <w:bCs/>
            </w:rPr>
            <w:t>C</w:t>
          </w:r>
          <w:r w:rsidR="00F035FE" w:rsidRPr="00F035FE">
            <w:rPr>
              <w:rFonts w:ascii="Arial" w:hAnsi="Arial" w:cs="Arial"/>
              <w:b/>
              <w:bCs/>
            </w:rPr>
            <w:t xml:space="preserve">oupled </w:t>
          </w:r>
          <w:r w:rsidR="00B12707">
            <w:rPr>
              <w:rFonts w:ascii="Arial" w:hAnsi="Arial" w:cs="Arial"/>
              <w:b/>
              <w:bCs/>
            </w:rPr>
            <w:t>P</w:t>
          </w:r>
          <w:r w:rsidR="00F035FE" w:rsidRPr="00F035FE">
            <w:rPr>
              <w:rFonts w:ascii="Arial" w:hAnsi="Arial" w:cs="Arial"/>
              <w:b/>
              <w:bCs/>
            </w:rPr>
            <w:t xml:space="preserve">lasma </w:t>
          </w:r>
          <w:r w:rsidR="00B12707">
            <w:rPr>
              <w:rFonts w:ascii="Arial" w:hAnsi="Arial" w:cs="Arial"/>
              <w:b/>
              <w:bCs/>
            </w:rPr>
            <w:t>O</w:t>
          </w:r>
          <w:r w:rsidR="00F035FE" w:rsidRPr="00F035FE">
            <w:rPr>
              <w:rFonts w:ascii="Arial" w:hAnsi="Arial" w:cs="Arial"/>
              <w:b/>
              <w:bCs/>
            </w:rPr>
            <w:t xml:space="preserve">ptical </w:t>
          </w:r>
          <w:r w:rsidR="00B12707">
            <w:rPr>
              <w:rFonts w:ascii="Arial" w:hAnsi="Arial" w:cs="Arial"/>
              <w:b/>
              <w:bCs/>
            </w:rPr>
            <w:t>E</w:t>
          </w:r>
          <w:r w:rsidR="00F035FE" w:rsidRPr="00F035FE">
            <w:rPr>
              <w:rFonts w:ascii="Arial" w:hAnsi="Arial" w:cs="Arial"/>
              <w:b/>
              <w:bCs/>
            </w:rPr>
            <w:t xml:space="preserve">mission </w:t>
          </w:r>
          <w:r w:rsidR="00B12707">
            <w:rPr>
              <w:rFonts w:ascii="Arial" w:hAnsi="Arial" w:cs="Arial"/>
              <w:b/>
              <w:bCs/>
            </w:rPr>
            <w:t>S</w:t>
          </w:r>
          <w:r w:rsidR="00F035FE" w:rsidRPr="00F035FE">
            <w:rPr>
              <w:rFonts w:ascii="Arial" w:hAnsi="Arial" w:cs="Arial"/>
              <w:b/>
              <w:bCs/>
            </w:rPr>
            <w:t xml:space="preserve">pectroscopy </w:t>
          </w:r>
        </w:p>
        <w:p w14:paraId="737C349C" w14:textId="23BA5DEA" w:rsidR="00616140" w:rsidRPr="009A7F78" w:rsidRDefault="00F035FE" w:rsidP="00616140">
          <w:pPr>
            <w:pStyle w:val="Header"/>
            <w:spacing w:before="120" w:after="120"/>
            <w:jc w:val="center"/>
            <w:rPr>
              <w:rFonts w:ascii="Arial" w:hAnsi="Arial" w:cs="Arial"/>
              <w:b/>
              <w:bCs/>
              <w:sz w:val="16"/>
              <w:szCs w:val="16"/>
            </w:rPr>
          </w:pPr>
          <w:r w:rsidRPr="00F035FE">
            <w:rPr>
              <w:rFonts w:ascii="Arial" w:hAnsi="Arial" w:cs="Arial"/>
              <w:b/>
              <w:bCs/>
            </w:rPr>
            <w:t>(ICP-OES)</w:t>
          </w:r>
        </w:p>
      </w:tc>
    </w:tr>
    <w:tr w:rsidR="00616140" w14:paraId="2A9BC5B3" w14:textId="77777777" w:rsidTr="00486479">
      <w:tc>
        <w:tcPr>
          <w:tcW w:w="496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F3098B" w14:textId="77777777" w:rsidR="00616140" w:rsidRDefault="00616140" w:rsidP="00616140">
          <w:pPr>
            <w:pStyle w:val="Header"/>
            <w:spacing w:before="60" w:after="60"/>
            <w:rPr>
              <w:rFonts w:ascii="Arial" w:hAnsi="Arial" w:cs="Arial"/>
              <w:sz w:val="16"/>
              <w:szCs w:val="16"/>
            </w:rPr>
          </w:pPr>
          <w:r>
            <w:rPr>
              <w:rFonts w:ascii="Arial" w:hAnsi="Arial" w:cs="Arial"/>
              <w:sz w:val="16"/>
              <w:szCs w:val="16"/>
            </w:rPr>
            <w:t>Prepared by: Charles Dal Castel</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tcPr>
        <w:p w14:paraId="34C1DA76" w14:textId="77777777" w:rsidR="00616140" w:rsidRDefault="00616140" w:rsidP="00616140">
          <w:pPr>
            <w:pStyle w:val="Header"/>
            <w:spacing w:before="60" w:after="60"/>
            <w:jc w:val="left"/>
            <w:rPr>
              <w:rFonts w:ascii="Arial" w:hAnsi="Arial" w:cs="Arial"/>
              <w:sz w:val="16"/>
              <w:szCs w:val="16"/>
            </w:rPr>
          </w:pPr>
          <w:r>
            <w:rPr>
              <w:rFonts w:ascii="Arial" w:hAnsi="Arial" w:cs="Arial"/>
              <w:sz w:val="16"/>
              <w:szCs w:val="16"/>
            </w:rPr>
            <w:t>Effective Date: May 01, 2020</w:t>
          </w:r>
        </w:p>
      </w:tc>
      <w:tc>
        <w:tcPr>
          <w:tcW w:w="1859" w:type="dxa"/>
          <w:tcBorders>
            <w:top w:val="single" w:sz="4" w:space="0" w:color="auto"/>
            <w:left w:val="single" w:sz="4" w:space="0" w:color="auto"/>
            <w:bottom w:val="single" w:sz="4" w:space="0" w:color="auto"/>
            <w:right w:val="single" w:sz="4" w:space="0" w:color="auto"/>
          </w:tcBorders>
          <w:shd w:val="clear" w:color="auto" w:fill="E7E6E6" w:themeFill="background2"/>
        </w:tcPr>
        <w:p w14:paraId="0BE6A6DB" w14:textId="77777777" w:rsidR="00616140" w:rsidRDefault="00616140" w:rsidP="00616140">
          <w:pPr>
            <w:pStyle w:val="Header"/>
            <w:spacing w:before="60" w:after="60"/>
            <w:jc w:val="right"/>
            <w:rPr>
              <w:rFonts w:ascii="Arial" w:hAnsi="Arial" w:cs="Arial"/>
              <w:sz w:val="16"/>
              <w:szCs w:val="16"/>
            </w:rPr>
          </w:pPr>
          <w:r>
            <w:rPr>
              <w:rFonts w:ascii="Arial" w:hAnsi="Arial" w:cs="Arial"/>
              <w:sz w:val="16"/>
              <w:szCs w:val="16"/>
            </w:rPr>
            <w:t>Version: 01</w:t>
          </w:r>
        </w:p>
      </w:tc>
    </w:tr>
  </w:tbl>
  <w:p w14:paraId="5BC97D50" w14:textId="77777777" w:rsidR="00616140" w:rsidRDefault="00616140" w:rsidP="00616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05"/>
    <w:multiLevelType w:val="multilevel"/>
    <w:tmpl w:val="D3DAE1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E6076"/>
    <w:multiLevelType w:val="hybridMultilevel"/>
    <w:tmpl w:val="A356B3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9D7FB5"/>
    <w:multiLevelType w:val="multilevel"/>
    <w:tmpl w:val="FB44E21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A1C553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064349"/>
    <w:multiLevelType w:val="hybridMultilevel"/>
    <w:tmpl w:val="1B1ECC3A"/>
    <w:lvl w:ilvl="0" w:tplc="2F6EE448">
      <w:numFmt w:val="bullet"/>
      <w:lvlText w:val=""/>
      <w:lvlJc w:val="left"/>
      <w:pPr>
        <w:ind w:left="720" w:hanging="360"/>
      </w:pPr>
      <w:rPr>
        <w:rFonts w:ascii="Symbol" w:eastAsiaTheme="majorEastAsia"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526D11"/>
    <w:multiLevelType w:val="multilevel"/>
    <w:tmpl w:val="FB44E21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5F307A8"/>
    <w:multiLevelType w:val="hybridMultilevel"/>
    <w:tmpl w:val="EAF8F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A9163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D3755B"/>
    <w:multiLevelType w:val="hybridMultilevel"/>
    <w:tmpl w:val="F9B2E0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6130ADC"/>
    <w:multiLevelType w:val="hybridMultilevel"/>
    <w:tmpl w:val="26E47D68"/>
    <w:lvl w:ilvl="0" w:tplc="E3B088EA">
      <w:start w:val="1"/>
      <w:numFmt w:val="decimal"/>
      <w:lvlText w:val="%1."/>
      <w:lvlJc w:val="left"/>
      <w:pPr>
        <w:ind w:left="3624" w:hanging="360"/>
      </w:pPr>
    </w:lvl>
    <w:lvl w:ilvl="1" w:tplc="10090019" w:tentative="1">
      <w:start w:val="1"/>
      <w:numFmt w:val="lowerLetter"/>
      <w:lvlText w:val="%2."/>
      <w:lvlJc w:val="left"/>
      <w:pPr>
        <w:ind w:left="4344" w:hanging="360"/>
      </w:pPr>
    </w:lvl>
    <w:lvl w:ilvl="2" w:tplc="1009001B" w:tentative="1">
      <w:start w:val="1"/>
      <w:numFmt w:val="lowerRoman"/>
      <w:lvlText w:val="%3."/>
      <w:lvlJc w:val="right"/>
      <w:pPr>
        <w:ind w:left="5064" w:hanging="180"/>
      </w:pPr>
    </w:lvl>
    <w:lvl w:ilvl="3" w:tplc="1009000F" w:tentative="1">
      <w:start w:val="1"/>
      <w:numFmt w:val="decimal"/>
      <w:lvlText w:val="%4."/>
      <w:lvlJc w:val="left"/>
      <w:pPr>
        <w:ind w:left="5784" w:hanging="360"/>
      </w:pPr>
    </w:lvl>
    <w:lvl w:ilvl="4" w:tplc="10090019" w:tentative="1">
      <w:start w:val="1"/>
      <w:numFmt w:val="lowerLetter"/>
      <w:lvlText w:val="%5."/>
      <w:lvlJc w:val="left"/>
      <w:pPr>
        <w:ind w:left="6504" w:hanging="360"/>
      </w:pPr>
    </w:lvl>
    <w:lvl w:ilvl="5" w:tplc="1009001B" w:tentative="1">
      <w:start w:val="1"/>
      <w:numFmt w:val="lowerRoman"/>
      <w:lvlText w:val="%6."/>
      <w:lvlJc w:val="right"/>
      <w:pPr>
        <w:ind w:left="7224" w:hanging="180"/>
      </w:pPr>
    </w:lvl>
    <w:lvl w:ilvl="6" w:tplc="1009000F" w:tentative="1">
      <w:start w:val="1"/>
      <w:numFmt w:val="decimal"/>
      <w:lvlText w:val="%7."/>
      <w:lvlJc w:val="left"/>
      <w:pPr>
        <w:ind w:left="7944" w:hanging="360"/>
      </w:pPr>
    </w:lvl>
    <w:lvl w:ilvl="7" w:tplc="10090019" w:tentative="1">
      <w:start w:val="1"/>
      <w:numFmt w:val="lowerLetter"/>
      <w:lvlText w:val="%8."/>
      <w:lvlJc w:val="left"/>
      <w:pPr>
        <w:ind w:left="8664" w:hanging="360"/>
      </w:pPr>
    </w:lvl>
    <w:lvl w:ilvl="8" w:tplc="1009001B" w:tentative="1">
      <w:start w:val="1"/>
      <w:numFmt w:val="lowerRoman"/>
      <w:lvlText w:val="%9."/>
      <w:lvlJc w:val="right"/>
      <w:pPr>
        <w:ind w:left="9384" w:hanging="180"/>
      </w:pPr>
    </w:lvl>
  </w:abstractNum>
  <w:num w:numId="1" w16cid:durableId="439180329">
    <w:abstractNumId w:val="3"/>
  </w:num>
  <w:num w:numId="2" w16cid:durableId="2024015636">
    <w:abstractNumId w:val="0"/>
  </w:num>
  <w:num w:numId="3" w16cid:durableId="1000349009">
    <w:abstractNumId w:val="9"/>
  </w:num>
  <w:num w:numId="4" w16cid:durableId="710693450">
    <w:abstractNumId w:val="7"/>
  </w:num>
  <w:num w:numId="5" w16cid:durableId="531504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427997">
    <w:abstractNumId w:val="4"/>
  </w:num>
  <w:num w:numId="7" w16cid:durableId="657880403">
    <w:abstractNumId w:val="6"/>
  </w:num>
  <w:num w:numId="8" w16cid:durableId="615983860">
    <w:abstractNumId w:val="1"/>
  </w:num>
  <w:num w:numId="9" w16cid:durableId="837161269">
    <w:abstractNumId w:val="8"/>
  </w:num>
  <w:num w:numId="10" w16cid:durableId="657612137">
    <w:abstractNumId w:val="5"/>
  </w:num>
  <w:num w:numId="11" w16cid:durableId="9695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40"/>
    <w:rsid w:val="00001A46"/>
    <w:rsid w:val="00002A61"/>
    <w:rsid w:val="0000515A"/>
    <w:rsid w:val="00005371"/>
    <w:rsid w:val="0000630A"/>
    <w:rsid w:val="00010C9A"/>
    <w:rsid w:val="000114FB"/>
    <w:rsid w:val="0001253F"/>
    <w:rsid w:val="00012A93"/>
    <w:rsid w:val="00017610"/>
    <w:rsid w:val="00023EE3"/>
    <w:rsid w:val="0002558A"/>
    <w:rsid w:val="0002710A"/>
    <w:rsid w:val="00032EE7"/>
    <w:rsid w:val="0003427A"/>
    <w:rsid w:val="0004169B"/>
    <w:rsid w:val="00041EAB"/>
    <w:rsid w:val="000425AE"/>
    <w:rsid w:val="000456DB"/>
    <w:rsid w:val="000457F0"/>
    <w:rsid w:val="00047B57"/>
    <w:rsid w:val="00053E44"/>
    <w:rsid w:val="00054DD6"/>
    <w:rsid w:val="00055420"/>
    <w:rsid w:val="0006180D"/>
    <w:rsid w:val="0006227A"/>
    <w:rsid w:val="000640C5"/>
    <w:rsid w:val="000640F3"/>
    <w:rsid w:val="00064B2B"/>
    <w:rsid w:val="000669E5"/>
    <w:rsid w:val="00070F47"/>
    <w:rsid w:val="000738ED"/>
    <w:rsid w:val="00075906"/>
    <w:rsid w:val="00082B09"/>
    <w:rsid w:val="00084EDC"/>
    <w:rsid w:val="00086AFD"/>
    <w:rsid w:val="00087F36"/>
    <w:rsid w:val="00090CD8"/>
    <w:rsid w:val="0009387C"/>
    <w:rsid w:val="000947CE"/>
    <w:rsid w:val="00094A27"/>
    <w:rsid w:val="000954DC"/>
    <w:rsid w:val="000976CB"/>
    <w:rsid w:val="000A09E4"/>
    <w:rsid w:val="000A0DE8"/>
    <w:rsid w:val="000A1CF6"/>
    <w:rsid w:val="000A2C37"/>
    <w:rsid w:val="000A363D"/>
    <w:rsid w:val="000A5596"/>
    <w:rsid w:val="000A6774"/>
    <w:rsid w:val="000B0347"/>
    <w:rsid w:val="000B2429"/>
    <w:rsid w:val="000B26F4"/>
    <w:rsid w:val="000B4B4A"/>
    <w:rsid w:val="000B5662"/>
    <w:rsid w:val="000B5813"/>
    <w:rsid w:val="000B6984"/>
    <w:rsid w:val="000C0D88"/>
    <w:rsid w:val="000C48A2"/>
    <w:rsid w:val="000D087F"/>
    <w:rsid w:val="000D416B"/>
    <w:rsid w:val="000D61C3"/>
    <w:rsid w:val="000E0236"/>
    <w:rsid w:val="000E3746"/>
    <w:rsid w:val="000E70C6"/>
    <w:rsid w:val="000E712B"/>
    <w:rsid w:val="000F2C7E"/>
    <w:rsid w:val="000F2FE2"/>
    <w:rsid w:val="000F5DB7"/>
    <w:rsid w:val="0010356F"/>
    <w:rsid w:val="001054E1"/>
    <w:rsid w:val="001076E8"/>
    <w:rsid w:val="00110012"/>
    <w:rsid w:val="00110639"/>
    <w:rsid w:val="00111E0F"/>
    <w:rsid w:val="00112F23"/>
    <w:rsid w:val="00117FDE"/>
    <w:rsid w:val="00123DC7"/>
    <w:rsid w:val="00125101"/>
    <w:rsid w:val="0013291D"/>
    <w:rsid w:val="00132927"/>
    <w:rsid w:val="00146B97"/>
    <w:rsid w:val="00147BAC"/>
    <w:rsid w:val="00147D3E"/>
    <w:rsid w:val="0015059E"/>
    <w:rsid w:val="001531E2"/>
    <w:rsid w:val="00154EC3"/>
    <w:rsid w:val="0015724E"/>
    <w:rsid w:val="001577B7"/>
    <w:rsid w:val="001628AF"/>
    <w:rsid w:val="00163162"/>
    <w:rsid w:val="001653DB"/>
    <w:rsid w:val="00166F50"/>
    <w:rsid w:val="00171983"/>
    <w:rsid w:val="00172F84"/>
    <w:rsid w:val="001749E5"/>
    <w:rsid w:val="00174DA2"/>
    <w:rsid w:val="00175A83"/>
    <w:rsid w:val="0018132C"/>
    <w:rsid w:val="00181931"/>
    <w:rsid w:val="0018194F"/>
    <w:rsid w:val="00184A3B"/>
    <w:rsid w:val="00184F00"/>
    <w:rsid w:val="00186275"/>
    <w:rsid w:val="001864CC"/>
    <w:rsid w:val="00187FC0"/>
    <w:rsid w:val="00190197"/>
    <w:rsid w:val="00190E53"/>
    <w:rsid w:val="00191105"/>
    <w:rsid w:val="00191B7C"/>
    <w:rsid w:val="00193A7D"/>
    <w:rsid w:val="00195A95"/>
    <w:rsid w:val="00196FFF"/>
    <w:rsid w:val="001A3571"/>
    <w:rsid w:val="001A530B"/>
    <w:rsid w:val="001A5E31"/>
    <w:rsid w:val="001A6151"/>
    <w:rsid w:val="001B1FC5"/>
    <w:rsid w:val="001B4AED"/>
    <w:rsid w:val="001B50C3"/>
    <w:rsid w:val="001C25B0"/>
    <w:rsid w:val="001C4603"/>
    <w:rsid w:val="001C6E6D"/>
    <w:rsid w:val="001D0F73"/>
    <w:rsid w:val="001D5B65"/>
    <w:rsid w:val="001E0D51"/>
    <w:rsid w:val="001E2200"/>
    <w:rsid w:val="001E2878"/>
    <w:rsid w:val="001F0F0C"/>
    <w:rsid w:val="001F120C"/>
    <w:rsid w:val="001F7424"/>
    <w:rsid w:val="00200F0E"/>
    <w:rsid w:val="0020373F"/>
    <w:rsid w:val="00211695"/>
    <w:rsid w:val="00211878"/>
    <w:rsid w:val="0021363D"/>
    <w:rsid w:val="002141F6"/>
    <w:rsid w:val="002146AA"/>
    <w:rsid w:val="00214E9D"/>
    <w:rsid w:val="002155D7"/>
    <w:rsid w:val="00215CAA"/>
    <w:rsid w:val="00222751"/>
    <w:rsid w:val="002245E8"/>
    <w:rsid w:val="002255CA"/>
    <w:rsid w:val="00225BBF"/>
    <w:rsid w:val="0023004B"/>
    <w:rsid w:val="002310CB"/>
    <w:rsid w:val="00231839"/>
    <w:rsid w:val="00231F5D"/>
    <w:rsid w:val="0023265D"/>
    <w:rsid w:val="00233143"/>
    <w:rsid w:val="00233519"/>
    <w:rsid w:val="00233714"/>
    <w:rsid w:val="00235048"/>
    <w:rsid w:val="00236936"/>
    <w:rsid w:val="00237AF4"/>
    <w:rsid w:val="00241101"/>
    <w:rsid w:val="00244FC0"/>
    <w:rsid w:val="00246E22"/>
    <w:rsid w:val="00247F14"/>
    <w:rsid w:val="0025146F"/>
    <w:rsid w:val="00254D1E"/>
    <w:rsid w:val="00264534"/>
    <w:rsid w:val="00275C81"/>
    <w:rsid w:val="00276954"/>
    <w:rsid w:val="00276FD2"/>
    <w:rsid w:val="00277E34"/>
    <w:rsid w:val="00280465"/>
    <w:rsid w:val="00283B3F"/>
    <w:rsid w:val="00283C37"/>
    <w:rsid w:val="00286A1F"/>
    <w:rsid w:val="00286AC8"/>
    <w:rsid w:val="00287BF4"/>
    <w:rsid w:val="002908A4"/>
    <w:rsid w:val="00291B96"/>
    <w:rsid w:val="002928D3"/>
    <w:rsid w:val="0029356E"/>
    <w:rsid w:val="00293A9C"/>
    <w:rsid w:val="002965E2"/>
    <w:rsid w:val="002A0156"/>
    <w:rsid w:val="002A058C"/>
    <w:rsid w:val="002A6FF7"/>
    <w:rsid w:val="002A70A8"/>
    <w:rsid w:val="002B0CE8"/>
    <w:rsid w:val="002B40E2"/>
    <w:rsid w:val="002B5E30"/>
    <w:rsid w:val="002B6534"/>
    <w:rsid w:val="002C0C56"/>
    <w:rsid w:val="002C20B6"/>
    <w:rsid w:val="002C26FF"/>
    <w:rsid w:val="002C5515"/>
    <w:rsid w:val="002C5E71"/>
    <w:rsid w:val="002C6286"/>
    <w:rsid w:val="002C7AAD"/>
    <w:rsid w:val="002D075B"/>
    <w:rsid w:val="002D08C8"/>
    <w:rsid w:val="002D3F62"/>
    <w:rsid w:val="002D48AB"/>
    <w:rsid w:val="002D70BB"/>
    <w:rsid w:val="002D7CA0"/>
    <w:rsid w:val="002E00E4"/>
    <w:rsid w:val="002F1756"/>
    <w:rsid w:val="002F35A7"/>
    <w:rsid w:val="002F411F"/>
    <w:rsid w:val="002F5716"/>
    <w:rsid w:val="002F6538"/>
    <w:rsid w:val="002F6FE0"/>
    <w:rsid w:val="002F7736"/>
    <w:rsid w:val="00303FF9"/>
    <w:rsid w:val="00304216"/>
    <w:rsid w:val="003044BF"/>
    <w:rsid w:val="0031053A"/>
    <w:rsid w:val="00314C36"/>
    <w:rsid w:val="003153AE"/>
    <w:rsid w:val="00323007"/>
    <w:rsid w:val="00325094"/>
    <w:rsid w:val="00325FDF"/>
    <w:rsid w:val="00332671"/>
    <w:rsid w:val="003414BE"/>
    <w:rsid w:val="00343E79"/>
    <w:rsid w:val="00343ED2"/>
    <w:rsid w:val="00347DF5"/>
    <w:rsid w:val="003506AA"/>
    <w:rsid w:val="00353265"/>
    <w:rsid w:val="00357150"/>
    <w:rsid w:val="00362F53"/>
    <w:rsid w:val="00365DBB"/>
    <w:rsid w:val="00366DC7"/>
    <w:rsid w:val="00371206"/>
    <w:rsid w:val="003729FC"/>
    <w:rsid w:val="00374C40"/>
    <w:rsid w:val="00381328"/>
    <w:rsid w:val="003821A5"/>
    <w:rsid w:val="0038245E"/>
    <w:rsid w:val="0038272E"/>
    <w:rsid w:val="0038284E"/>
    <w:rsid w:val="00385044"/>
    <w:rsid w:val="003921B4"/>
    <w:rsid w:val="00396BC0"/>
    <w:rsid w:val="003A780E"/>
    <w:rsid w:val="003B79DF"/>
    <w:rsid w:val="003C2399"/>
    <w:rsid w:val="003C51D6"/>
    <w:rsid w:val="003C57D2"/>
    <w:rsid w:val="003C7395"/>
    <w:rsid w:val="003D0746"/>
    <w:rsid w:val="003D1165"/>
    <w:rsid w:val="003E03C3"/>
    <w:rsid w:val="003E38A7"/>
    <w:rsid w:val="003E3910"/>
    <w:rsid w:val="003E41B7"/>
    <w:rsid w:val="003E50EC"/>
    <w:rsid w:val="003E7EC4"/>
    <w:rsid w:val="003F1493"/>
    <w:rsid w:val="003F2747"/>
    <w:rsid w:val="003F637E"/>
    <w:rsid w:val="003F66EF"/>
    <w:rsid w:val="003F742E"/>
    <w:rsid w:val="00400D9A"/>
    <w:rsid w:val="00402F41"/>
    <w:rsid w:val="004077EB"/>
    <w:rsid w:val="0042044A"/>
    <w:rsid w:val="00421A5C"/>
    <w:rsid w:val="004224E2"/>
    <w:rsid w:val="00422F25"/>
    <w:rsid w:val="0043641B"/>
    <w:rsid w:val="00437B92"/>
    <w:rsid w:val="004519FC"/>
    <w:rsid w:val="00454F70"/>
    <w:rsid w:val="004564FB"/>
    <w:rsid w:val="004573F9"/>
    <w:rsid w:val="00462123"/>
    <w:rsid w:val="004649A6"/>
    <w:rsid w:val="00465173"/>
    <w:rsid w:val="004655FF"/>
    <w:rsid w:val="004656D1"/>
    <w:rsid w:val="00465D2E"/>
    <w:rsid w:val="004664D7"/>
    <w:rsid w:val="004722BD"/>
    <w:rsid w:val="004772EF"/>
    <w:rsid w:val="00480A8C"/>
    <w:rsid w:val="00482536"/>
    <w:rsid w:val="00484500"/>
    <w:rsid w:val="00485CA0"/>
    <w:rsid w:val="00485DF5"/>
    <w:rsid w:val="00486479"/>
    <w:rsid w:val="00486BCF"/>
    <w:rsid w:val="00492D5C"/>
    <w:rsid w:val="00492DAA"/>
    <w:rsid w:val="00493AC6"/>
    <w:rsid w:val="004975D1"/>
    <w:rsid w:val="004A1821"/>
    <w:rsid w:val="004A2989"/>
    <w:rsid w:val="004A6F39"/>
    <w:rsid w:val="004A722D"/>
    <w:rsid w:val="004B01DE"/>
    <w:rsid w:val="004B237E"/>
    <w:rsid w:val="004B580D"/>
    <w:rsid w:val="004B6F34"/>
    <w:rsid w:val="004B7586"/>
    <w:rsid w:val="004C14AC"/>
    <w:rsid w:val="004C22A5"/>
    <w:rsid w:val="004C345D"/>
    <w:rsid w:val="004D35FD"/>
    <w:rsid w:val="004D3F62"/>
    <w:rsid w:val="004D455E"/>
    <w:rsid w:val="004D5AE8"/>
    <w:rsid w:val="004D77A6"/>
    <w:rsid w:val="004E0238"/>
    <w:rsid w:val="004E3F7A"/>
    <w:rsid w:val="004F1E9D"/>
    <w:rsid w:val="004F3407"/>
    <w:rsid w:val="004F4D8B"/>
    <w:rsid w:val="004F5416"/>
    <w:rsid w:val="00501C4F"/>
    <w:rsid w:val="0050595B"/>
    <w:rsid w:val="00506BFA"/>
    <w:rsid w:val="00512ACD"/>
    <w:rsid w:val="005159C4"/>
    <w:rsid w:val="00516C03"/>
    <w:rsid w:val="00517E7A"/>
    <w:rsid w:val="0052022B"/>
    <w:rsid w:val="00521BD7"/>
    <w:rsid w:val="00524A47"/>
    <w:rsid w:val="00525589"/>
    <w:rsid w:val="005259B5"/>
    <w:rsid w:val="00526723"/>
    <w:rsid w:val="00540499"/>
    <w:rsid w:val="00540985"/>
    <w:rsid w:val="005503CD"/>
    <w:rsid w:val="00550A34"/>
    <w:rsid w:val="00551C25"/>
    <w:rsid w:val="00553320"/>
    <w:rsid w:val="00554DCE"/>
    <w:rsid w:val="00555A1A"/>
    <w:rsid w:val="00561C56"/>
    <w:rsid w:val="0057765D"/>
    <w:rsid w:val="005820EF"/>
    <w:rsid w:val="0058389C"/>
    <w:rsid w:val="00585ACA"/>
    <w:rsid w:val="0059311A"/>
    <w:rsid w:val="005A670A"/>
    <w:rsid w:val="005A741E"/>
    <w:rsid w:val="005B2B35"/>
    <w:rsid w:val="005B47A4"/>
    <w:rsid w:val="005B5364"/>
    <w:rsid w:val="005B5950"/>
    <w:rsid w:val="005B5A57"/>
    <w:rsid w:val="005C6C78"/>
    <w:rsid w:val="005C7E5B"/>
    <w:rsid w:val="005D0C73"/>
    <w:rsid w:val="005D432C"/>
    <w:rsid w:val="005E0C7F"/>
    <w:rsid w:val="005E444E"/>
    <w:rsid w:val="005E68B7"/>
    <w:rsid w:val="005F2F18"/>
    <w:rsid w:val="005F4622"/>
    <w:rsid w:val="005F49FA"/>
    <w:rsid w:val="005F7D9F"/>
    <w:rsid w:val="00600FBB"/>
    <w:rsid w:val="00603425"/>
    <w:rsid w:val="0060503E"/>
    <w:rsid w:val="006053DF"/>
    <w:rsid w:val="00606ABB"/>
    <w:rsid w:val="006104C6"/>
    <w:rsid w:val="00615056"/>
    <w:rsid w:val="00616140"/>
    <w:rsid w:val="00616249"/>
    <w:rsid w:val="00617D2F"/>
    <w:rsid w:val="00622B52"/>
    <w:rsid w:val="00624664"/>
    <w:rsid w:val="00624D74"/>
    <w:rsid w:val="006267A4"/>
    <w:rsid w:val="00627662"/>
    <w:rsid w:val="00630B8A"/>
    <w:rsid w:val="00632287"/>
    <w:rsid w:val="006358B8"/>
    <w:rsid w:val="00636AFA"/>
    <w:rsid w:val="006379F3"/>
    <w:rsid w:val="00640475"/>
    <w:rsid w:val="00642FE1"/>
    <w:rsid w:val="00643688"/>
    <w:rsid w:val="00644352"/>
    <w:rsid w:val="00645B0E"/>
    <w:rsid w:val="00650918"/>
    <w:rsid w:val="0065248A"/>
    <w:rsid w:val="00656FB2"/>
    <w:rsid w:val="00657224"/>
    <w:rsid w:val="0065789C"/>
    <w:rsid w:val="00660616"/>
    <w:rsid w:val="00661D05"/>
    <w:rsid w:val="0066278E"/>
    <w:rsid w:val="00665088"/>
    <w:rsid w:val="00666CFE"/>
    <w:rsid w:val="006710F8"/>
    <w:rsid w:val="006722D6"/>
    <w:rsid w:val="0067244F"/>
    <w:rsid w:val="00672A8C"/>
    <w:rsid w:val="0067721A"/>
    <w:rsid w:val="006774A5"/>
    <w:rsid w:val="006803B0"/>
    <w:rsid w:val="00680463"/>
    <w:rsid w:val="00681162"/>
    <w:rsid w:val="00685390"/>
    <w:rsid w:val="006874B1"/>
    <w:rsid w:val="006907D9"/>
    <w:rsid w:val="0069441A"/>
    <w:rsid w:val="00694BFF"/>
    <w:rsid w:val="006951D0"/>
    <w:rsid w:val="00697344"/>
    <w:rsid w:val="006A0E44"/>
    <w:rsid w:val="006A42FB"/>
    <w:rsid w:val="006B01BD"/>
    <w:rsid w:val="006B35CF"/>
    <w:rsid w:val="006B3A92"/>
    <w:rsid w:val="006B3D99"/>
    <w:rsid w:val="006B3E8B"/>
    <w:rsid w:val="006C342E"/>
    <w:rsid w:val="006C35C9"/>
    <w:rsid w:val="006C35DA"/>
    <w:rsid w:val="006C3A71"/>
    <w:rsid w:val="006D483B"/>
    <w:rsid w:val="006D648C"/>
    <w:rsid w:val="006E009D"/>
    <w:rsid w:val="006E1A54"/>
    <w:rsid w:val="006E20BB"/>
    <w:rsid w:val="006E3E79"/>
    <w:rsid w:val="006E6DB1"/>
    <w:rsid w:val="00702EB3"/>
    <w:rsid w:val="0070348C"/>
    <w:rsid w:val="0070771B"/>
    <w:rsid w:val="00714E6A"/>
    <w:rsid w:val="00716671"/>
    <w:rsid w:val="00720215"/>
    <w:rsid w:val="00724727"/>
    <w:rsid w:val="007248AA"/>
    <w:rsid w:val="00724D8B"/>
    <w:rsid w:val="00725BD0"/>
    <w:rsid w:val="00726271"/>
    <w:rsid w:val="00726727"/>
    <w:rsid w:val="007274D8"/>
    <w:rsid w:val="00730104"/>
    <w:rsid w:val="00730561"/>
    <w:rsid w:val="00732DB7"/>
    <w:rsid w:val="00733FB6"/>
    <w:rsid w:val="007412C8"/>
    <w:rsid w:val="0074173F"/>
    <w:rsid w:val="007427BE"/>
    <w:rsid w:val="007435F6"/>
    <w:rsid w:val="00743766"/>
    <w:rsid w:val="0074442B"/>
    <w:rsid w:val="0074529F"/>
    <w:rsid w:val="00747E2F"/>
    <w:rsid w:val="0075610B"/>
    <w:rsid w:val="00756D8B"/>
    <w:rsid w:val="00757D5B"/>
    <w:rsid w:val="00763B15"/>
    <w:rsid w:val="00766AB3"/>
    <w:rsid w:val="0077142E"/>
    <w:rsid w:val="0077236E"/>
    <w:rsid w:val="00773278"/>
    <w:rsid w:val="0077655E"/>
    <w:rsid w:val="00777B37"/>
    <w:rsid w:val="00780B16"/>
    <w:rsid w:val="00780CF5"/>
    <w:rsid w:val="007839F4"/>
    <w:rsid w:val="00783F8A"/>
    <w:rsid w:val="00790A0E"/>
    <w:rsid w:val="007931F0"/>
    <w:rsid w:val="007954C5"/>
    <w:rsid w:val="00795EE7"/>
    <w:rsid w:val="007A1C01"/>
    <w:rsid w:val="007A1E86"/>
    <w:rsid w:val="007A1F83"/>
    <w:rsid w:val="007A24F0"/>
    <w:rsid w:val="007A3AEE"/>
    <w:rsid w:val="007A5950"/>
    <w:rsid w:val="007A7400"/>
    <w:rsid w:val="007B0BAD"/>
    <w:rsid w:val="007C6ADA"/>
    <w:rsid w:val="007C79EA"/>
    <w:rsid w:val="007D004A"/>
    <w:rsid w:val="007D0784"/>
    <w:rsid w:val="007D56B6"/>
    <w:rsid w:val="007E4EFD"/>
    <w:rsid w:val="007F11EC"/>
    <w:rsid w:val="007F154D"/>
    <w:rsid w:val="007F38AA"/>
    <w:rsid w:val="007F5DDF"/>
    <w:rsid w:val="008014D8"/>
    <w:rsid w:val="00802787"/>
    <w:rsid w:val="00803DEC"/>
    <w:rsid w:val="00807813"/>
    <w:rsid w:val="008111C4"/>
    <w:rsid w:val="008114EC"/>
    <w:rsid w:val="00814B73"/>
    <w:rsid w:val="00815AC8"/>
    <w:rsid w:val="008160A7"/>
    <w:rsid w:val="008206FB"/>
    <w:rsid w:val="00822C74"/>
    <w:rsid w:val="00823326"/>
    <w:rsid w:val="00825AF7"/>
    <w:rsid w:val="00830504"/>
    <w:rsid w:val="0083087A"/>
    <w:rsid w:val="00837D57"/>
    <w:rsid w:val="008436C9"/>
    <w:rsid w:val="00845C30"/>
    <w:rsid w:val="00845F20"/>
    <w:rsid w:val="00847C4C"/>
    <w:rsid w:val="00847E06"/>
    <w:rsid w:val="008504D8"/>
    <w:rsid w:val="00855ABF"/>
    <w:rsid w:val="00855E9C"/>
    <w:rsid w:val="0086036D"/>
    <w:rsid w:val="0086127B"/>
    <w:rsid w:val="0086446D"/>
    <w:rsid w:val="00864DC3"/>
    <w:rsid w:val="00865009"/>
    <w:rsid w:val="00865C48"/>
    <w:rsid w:val="008700E7"/>
    <w:rsid w:val="008734D9"/>
    <w:rsid w:val="00875DFE"/>
    <w:rsid w:val="00876016"/>
    <w:rsid w:val="00876EDC"/>
    <w:rsid w:val="008820C0"/>
    <w:rsid w:val="00882E64"/>
    <w:rsid w:val="008861DB"/>
    <w:rsid w:val="008923B3"/>
    <w:rsid w:val="00894A05"/>
    <w:rsid w:val="008A0347"/>
    <w:rsid w:val="008A08CB"/>
    <w:rsid w:val="008A282C"/>
    <w:rsid w:val="008A5DB3"/>
    <w:rsid w:val="008A6660"/>
    <w:rsid w:val="008B2AE6"/>
    <w:rsid w:val="008B335C"/>
    <w:rsid w:val="008B73A0"/>
    <w:rsid w:val="008B78F8"/>
    <w:rsid w:val="008C0747"/>
    <w:rsid w:val="008C1DA9"/>
    <w:rsid w:val="008C72FB"/>
    <w:rsid w:val="008D0093"/>
    <w:rsid w:val="008D1014"/>
    <w:rsid w:val="008D1DB5"/>
    <w:rsid w:val="008D274A"/>
    <w:rsid w:val="008E0393"/>
    <w:rsid w:val="008E08E6"/>
    <w:rsid w:val="008E1222"/>
    <w:rsid w:val="008E1DE1"/>
    <w:rsid w:val="008E26A5"/>
    <w:rsid w:val="008E284C"/>
    <w:rsid w:val="008E3D3A"/>
    <w:rsid w:val="008E5565"/>
    <w:rsid w:val="008E5AE0"/>
    <w:rsid w:val="008F376B"/>
    <w:rsid w:val="008F5346"/>
    <w:rsid w:val="008F552A"/>
    <w:rsid w:val="008F5E62"/>
    <w:rsid w:val="008F7FCC"/>
    <w:rsid w:val="0090251B"/>
    <w:rsid w:val="00903433"/>
    <w:rsid w:val="009035F5"/>
    <w:rsid w:val="00911259"/>
    <w:rsid w:val="0091190A"/>
    <w:rsid w:val="00912CB6"/>
    <w:rsid w:val="009130C3"/>
    <w:rsid w:val="009159D3"/>
    <w:rsid w:val="009162AC"/>
    <w:rsid w:val="00922460"/>
    <w:rsid w:val="009236A4"/>
    <w:rsid w:val="009246A1"/>
    <w:rsid w:val="00926A77"/>
    <w:rsid w:val="00927313"/>
    <w:rsid w:val="00932D31"/>
    <w:rsid w:val="0093320C"/>
    <w:rsid w:val="00937055"/>
    <w:rsid w:val="00940C49"/>
    <w:rsid w:val="00942F61"/>
    <w:rsid w:val="009503B5"/>
    <w:rsid w:val="00950B27"/>
    <w:rsid w:val="00952D2D"/>
    <w:rsid w:val="00953E22"/>
    <w:rsid w:val="00957D7D"/>
    <w:rsid w:val="009626AC"/>
    <w:rsid w:val="00963120"/>
    <w:rsid w:val="0096512D"/>
    <w:rsid w:val="0096579A"/>
    <w:rsid w:val="00967D54"/>
    <w:rsid w:val="00970014"/>
    <w:rsid w:val="00973DB8"/>
    <w:rsid w:val="00974EF7"/>
    <w:rsid w:val="00975719"/>
    <w:rsid w:val="00982835"/>
    <w:rsid w:val="00983A05"/>
    <w:rsid w:val="00987BB8"/>
    <w:rsid w:val="00987E86"/>
    <w:rsid w:val="00992E04"/>
    <w:rsid w:val="00994331"/>
    <w:rsid w:val="009954DE"/>
    <w:rsid w:val="00995EA0"/>
    <w:rsid w:val="009A2AEA"/>
    <w:rsid w:val="009A35B3"/>
    <w:rsid w:val="009A5214"/>
    <w:rsid w:val="009A5D1A"/>
    <w:rsid w:val="009A63F8"/>
    <w:rsid w:val="009A7F78"/>
    <w:rsid w:val="009B02F3"/>
    <w:rsid w:val="009B088D"/>
    <w:rsid w:val="009B2B73"/>
    <w:rsid w:val="009B4531"/>
    <w:rsid w:val="009C4E7B"/>
    <w:rsid w:val="009D0302"/>
    <w:rsid w:val="009D165A"/>
    <w:rsid w:val="009D39FE"/>
    <w:rsid w:val="009D7519"/>
    <w:rsid w:val="009E2077"/>
    <w:rsid w:val="009E59C3"/>
    <w:rsid w:val="009F0D4D"/>
    <w:rsid w:val="00A00C88"/>
    <w:rsid w:val="00A01190"/>
    <w:rsid w:val="00A05750"/>
    <w:rsid w:val="00A07C43"/>
    <w:rsid w:val="00A106A1"/>
    <w:rsid w:val="00A12845"/>
    <w:rsid w:val="00A13A8A"/>
    <w:rsid w:val="00A17FEA"/>
    <w:rsid w:val="00A22622"/>
    <w:rsid w:val="00A23DFB"/>
    <w:rsid w:val="00A32833"/>
    <w:rsid w:val="00A339E4"/>
    <w:rsid w:val="00A34F7A"/>
    <w:rsid w:val="00A36691"/>
    <w:rsid w:val="00A37814"/>
    <w:rsid w:val="00A43DE4"/>
    <w:rsid w:val="00A45079"/>
    <w:rsid w:val="00A454D5"/>
    <w:rsid w:val="00A46171"/>
    <w:rsid w:val="00A5199A"/>
    <w:rsid w:val="00A51EBC"/>
    <w:rsid w:val="00A53CDE"/>
    <w:rsid w:val="00A540AF"/>
    <w:rsid w:val="00A551C6"/>
    <w:rsid w:val="00A55BED"/>
    <w:rsid w:val="00A56884"/>
    <w:rsid w:val="00A627FE"/>
    <w:rsid w:val="00A678E5"/>
    <w:rsid w:val="00A7754F"/>
    <w:rsid w:val="00A8073D"/>
    <w:rsid w:val="00A80870"/>
    <w:rsid w:val="00A844D3"/>
    <w:rsid w:val="00A8561F"/>
    <w:rsid w:val="00A90B79"/>
    <w:rsid w:val="00A91B64"/>
    <w:rsid w:val="00AA0C9D"/>
    <w:rsid w:val="00AA2C93"/>
    <w:rsid w:val="00AA586E"/>
    <w:rsid w:val="00AA5B5D"/>
    <w:rsid w:val="00AB41B5"/>
    <w:rsid w:val="00AB4A1A"/>
    <w:rsid w:val="00AC7512"/>
    <w:rsid w:val="00AC7762"/>
    <w:rsid w:val="00AD08D5"/>
    <w:rsid w:val="00AD48A6"/>
    <w:rsid w:val="00AD4DE4"/>
    <w:rsid w:val="00AD7341"/>
    <w:rsid w:val="00AD7ED7"/>
    <w:rsid w:val="00AE0597"/>
    <w:rsid w:val="00AE3859"/>
    <w:rsid w:val="00AE4E49"/>
    <w:rsid w:val="00AE5241"/>
    <w:rsid w:val="00AE5E76"/>
    <w:rsid w:val="00AE655A"/>
    <w:rsid w:val="00AE73FB"/>
    <w:rsid w:val="00AF0416"/>
    <w:rsid w:val="00AF05CE"/>
    <w:rsid w:val="00AF4A06"/>
    <w:rsid w:val="00B01D4D"/>
    <w:rsid w:val="00B034E9"/>
    <w:rsid w:val="00B038AD"/>
    <w:rsid w:val="00B05560"/>
    <w:rsid w:val="00B05621"/>
    <w:rsid w:val="00B059B6"/>
    <w:rsid w:val="00B0721A"/>
    <w:rsid w:val="00B11EDE"/>
    <w:rsid w:val="00B12707"/>
    <w:rsid w:val="00B12775"/>
    <w:rsid w:val="00B12A43"/>
    <w:rsid w:val="00B140E9"/>
    <w:rsid w:val="00B141AF"/>
    <w:rsid w:val="00B162D7"/>
    <w:rsid w:val="00B22DD9"/>
    <w:rsid w:val="00B22FA8"/>
    <w:rsid w:val="00B23664"/>
    <w:rsid w:val="00B27A54"/>
    <w:rsid w:val="00B27D28"/>
    <w:rsid w:val="00B27D84"/>
    <w:rsid w:val="00B32840"/>
    <w:rsid w:val="00B368F2"/>
    <w:rsid w:val="00B36D63"/>
    <w:rsid w:val="00B36F4C"/>
    <w:rsid w:val="00B420AD"/>
    <w:rsid w:val="00B421CB"/>
    <w:rsid w:val="00B4301A"/>
    <w:rsid w:val="00B44705"/>
    <w:rsid w:val="00B44ED6"/>
    <w:rsid w:val="00B4557B"/>
    <w:rsid w:val="00B456AF"/>
    <w:rsid w:val="00B456DD"/>
    <w:rsid w:val="00B50B72"/>
    <w:rsid w:val="00B52524"/>
    <w:rsid w:val="00B531F0"/>
    <w:rsid w:val="00B53D0D"/>
    <w:rsid w:val="00B5482A"/>
    <w:rsid w:val="00B54EAB"/>
    <w:rsid w:val="00B56C84"/>
    <w:rsid w:val="00B573BA"/>
    <w:rsid w:val="00B62832"/>
    <w:rsid w:val="00B66998"/>
    <w:rsid w:val="00B72842"/>
    <w:rsid w:val="00B74511"/>
    <w:rsid w:val="00B74F75"/>
    <w:rsid w:val="00B75BF2"/>
    <w:rsid w:val="00B75FC7"/>
    <w:rsid w:val="00B8797B"/>
    <w:rsid w:val="00B909EB"/>
    <w:rsid w:val="00B90EA3"/>
    <w:rsid w:val="00B91463"/>
    <w:rsid w:val="00B9328E"/>
    <w:rsid w:val="00B9746E"/>
    <w:rsid w:val="00BA11C2"/>
    <w:rsid w:val="00BA3F1F"/>
    <w:rsid w:val="00BA4962"/>
    <w:rsid w:val="00BA63F9"/>
    <w:rsid w:val="00BA7FD5"/>
    <w:rsid w:val="00BC0076"/>
    <w:rsid w:val="00BC2FC2"/>
    <w:rsid w:val="00BC4483"/>
    <w:rsid w:val="00BC4A06"/>
    <w:rsid w:val="00BC4AF1"/>
    <w:rsid w:val="00BC6B23"/>
    <w:rsid w:val="00BD4D92"/>
    <w:rsid w:val="00BD5070"/>
    <w:rsid w:val="00BD5285"/>
    <w:rsid w:val="00BE0618"/>
    <w:rsid w:val="00BE34B0"/>
    <w:rsid w:val="00BE42EA"/>
    <w:rsid w:val="00BE54A5"/>
    <w:rsid w:val="00BE67A7"/>
    <w:rsid w:val="00BF01FB"/>
    <w:rsid w:val="00BF301B"/>
    <w:rsid w:val="00BF5425"/>
    <w:rsid w:val="00BF5D85"/>
    <w:rsid w:val="00BF6DBA"/>
    <w:rsid w:val="00C0562E"/>
    <w:rsid w:val="00C068F9"/>
    <w:rsid w:val="00C07AFB"/>
    <w:rsid w:val="00C10C68"/>
    <w:rsid w:val="00C1189E"/>
    <w:rsid w:val="00C16CF9"/>
    <w:rsid w:val="00C20C36"/>
    <w:rsid w:val="00C230DB"/>
    <w:rsid w:val="00C271AA"/>
    <w:rsid w:val="00C27E2A"/>
    <w:rsid w:val="00C316A0"/>
    <w:rsid w:val="00C33589"/>
    <w:rsid w:val="00C358A8"/>
    <w:rsid w:val="00C36CAF"/>
    <w:rsid w:val="00C42B32"/>
    <w:rsid w:val="00C43902"/>
    <w:rsid w:val="00C43E16"/>
    <w:rsid w:val="00C517F9"/>
    <w:rsid w:val="00C537EF"/>
    <w:rsid w:val="00C54A75"/>
    <w:rsid w:val="00C54E49"/>
    <w:rsid w:val="00C6179D"/>
    <w:rsid w:val="00C61ACA"/>
    <w:rsid w:val="00C66F08"/>
    <w:rsid w:val="00C722B3"/>
    <w:rsid w:val="00C72D3B"/>
    <w:rsid w:val="00C73A01"/>
    <w:rsid w:val="00C74087"/>
    <w:rsid w:val="00C74632"/>
    <w:rsid w:val="00C753F5"/>
    <w:rsid w:val="00C7662D"/>
    <w:rsid w:val="00C77EAE"/>
    <w:rsid w:val="00C8395B"/>
    <w:rsid w:val="00C91F25"/>
    <w:rsid w:val="00C93968"/>
    <w:rsid w:val="00C9472E"/>
    <w:rsid w:val="00C95444"/>
    <w:rsid w:val="00C96604"/>
    <w:rsid w:val="00C96727"/>
    <w:rsid w:val="00C96ECD"/>
    <w:rsid w:val="00CA1D27"/>
    <w:rsid w:val="00CA5EBF"/>
    <w:rsid w:val="00CA6A15"/>
    <w:rsid w:val="00CA6C6B"/>
    <w:rsid w:val="00CA71F6"/>
    <w:rsid w:val="00CB5584"/>
    <w:rsid w:val="00CB706A"/>
    <w:rsid w:val="00CB730D"/>
    <w:rsid w:val="00CB737B"/>
    <w:rsid w:val="00CB74C7"/>
    <w:rsid w:val="00CC3943"/>
    <w:rsid w:val="00CC45DA"/>
    <w:rsid w:val="00CC6DC2"/>
    <w:rsid w:val="00CC7563"/>
    <w:rsid w:val="00CC7F7F"/>
    <w:rsid w:val="00CE0EBC"/>
    <w:rsid w:val="00CE1AC1"/>
    <w:rsid w:val="00CE1D78"/>
    <w:rsid w:val="00CE224A"/>
    <w:rsid w:val="00CE3325"/>
    <w:rsid w:val="00CE3C6A"/>
    <w:rsid w:val="00CE5D31"/>
    <w:rsid w:val="00CE7D6C"/>
    <w:rsid w:val="00CF0B8E"/>
    <w:rsid w:val="00CF3AC7"/>
    <w:rsid w:val="00CF58B8"/>
    <w:rsid w:val="00D025AF"/>
    <w:rsid w:val="00D02770"/>
    <w:rsid w:val="00D032A3"/>
    <w:rsid w:val="00D045B3"/>
    <w:rsid w:val="00D07EB5"/>
    <w:rsid w:val="00D101E3"/>
    <w:rsid w:val="00D10667"/>
    <w:rsid w:val="00D1069E"/>
    <w:rsid w:val="00D1614D"/>
    <w:rsid w:val="00D211FC"/>
    <w:rsid w:val="00D21277"/>
    <w:rsid w:val="00D2248F"/>
    <w:rsid w:val="00D2461A"/>
    <w:rsid w:val="00D2637D"/>
    <w:rsid w:val="00D31075"/>
    <w:rsid w:val="00D40231"/>
    <w:rsid w:val="00D437CA"/>
    <w:rsid w:val="00D4634C"/>
    <w:rsid w:val="00D467CC"/>
    <w:rsid w:val="00D47225"/>
    <w:rsid w:val="00D51E4C"/>
    <w:rsid w:val="00D53491"/>
    <w:rsid w:val="00D54C11"/>
    <w:rsid w:val="00D5581B"/>
    <w:rsid w:val="00D6181C"/>
    <w:rsid w:val="00D654CF"/>
    <w:rsid w:val="00D7079D"/>
    <w:rsid w:val="00D711A2"/>
    <w:rsid w:val="00D73841"/>
    <w:rsid w:val="00D742D2"/>
    <w:rsid w:val="00D748DC"/>
    <w:rsid w:val="00D752AE"/>
    <w:rsid w:val="00D767BD"/>
    <w:rsid w:val="00D875A4"/>
    <w:rsid w:val="00D87B31"/>
    <w:rsid w:val="00D911FE"/>
    <w:rsid w:val="00D94601"/>
    <w:rsid w:val="00DA4EC3"/>
    <w:rsid w:val="00DA5A0A"/>
    <w:rsid w:val="00DB0493"/>
    <w:rsid w:val="00DB680E"/>
    <w:rsid w:val="00DC0708"/>
    <w:rsid w:val="00DC1368"/>
    <w:rsid w:val="00DC2838"/>
    <w:rsid w:val="00DC4926"/>
    <w:rsid w:val="00DC4BFB"/>
    <w:rsid w:val="00DC60D1"/>
    <w:rsid w:val="00DC76F2"/>
    <w:rsid w:val="00DE0AC0"/>
    <w:rsid w:val="00DE2899"/>
    <w:rsid w:val="00DE4B2D"/>
    <w:rsid w:val="00DE5612"/>
    <w:rsid w:val="00DE6AE5"/>
    <w:rsid w:val="00DE7C8D"/>
    <w:rsid w:val="00DF096C"/>
    <w:rsid w:val="00DF2344"/>
    <w:rsid w:val="00DF584A"/>
    <w:rsid w:val="00DF6599"/>
    <w:rsid w:val="00DF6862"/>
    <w:rsid w:val="00E01C06"/>
    <w:rsid w:val="00E02A14"/>
    <w:rsid w:val="00E040DA"/>
    <w:rsid w:val="00E136A6"/>
    <w:rsid w:val="00E16D7D"/>
    <w:rsid w:val="00E17879"/>
    <w:rsid w:val="00E30162"/>
    <w:rsid w:val="00E3372F"/>
    <w:rsid w:val="00E35916"/>
    <w:rsid w:val="00E366F1"/>
    <w:rsid w:val="00E37752"/>
    <w:rsid w:val="00E37E2E"/>
    <w:rsid w:val="00E406C8"/>
    <w:rsid w:val="00E44FE5"/>
    <w:rsid w:val="00E459F0"/>
    <w:rsid w:val="00E463D2"/>
    <w:rsid w:val="00E47004"/>
    <w:rsid w:val="00E51985"/>
    <w:rsid w:val="00E51D03"/>
    <w:rsid w:val="00E55964"/>
    <w:rsid w:val="00E559AF"/>
    <w:rsid w:val="00E61562"/>
    <w:rsid w:val="00E67EEC"/>
    <w:rsid w:val="00E737FC"/>
    <w:rsid w:val="00E759E1"/>
    <w:rsid w:val="00E773DF"/>
    <w:rsid w:val="00E82ACA"/>
    <w:rsid w:val="00E856DC"/>
    <w:rsid w:val="00E91541"/>
    <w:rsid w:val="00E92237"/>
    <w:rsid w:val="00E9573F"/>
    <w:rsid w:val="00E95D6B"/>
    <w:rsid w:val="00EA1D3D"/>
    <w:rsid w:val="00EA2614"/>
    <w:rsid w:val="00EA3570"/>
    <w:rsid w:val="00EA520F"/>
    <w:rsid w:val="00EB11B3"/>
    <w:rsid w:val="00EB357F"/>
    <w:rsid w:val="00EB49E4"/>
    <w:rsid w:val="00EB63CE"/>
    <w:rsid w:val="00EB79D2"/>
    <w:rsid w:val="00EC061F"/>
    <w:rsid w:val="00EC16CB"/>
    <w:rsid w:val="00EC1AAE"/>
    <w:rsid w:val="00EC1CB0"/>
    <w:rsid w:val="00EC2011"/>
    <w:rsid w:val="00EC4F6D"/>
    <w:rsid w:val="00ED2828"/>
    <w:rsid w:val="00ED29FA"/>
    <w:rsid w:val="00ED3228"/>
    <w:rsid w:val="00ED52B2"/>
    <w:rsid w:val="00ED544A"/>
    <w:rsid w:val="00ED61CF"/>
    <w:rsid w:val="00EE3FEB"/>
    <w:rsid w:val="00EE5001"/>
    <w:rsid w:val="00EE522C"/>
    <w:rsid w:val="00EE67DB"/>
    <w:rsid w:val="00EE7D2E"/>
    <w:rsid w:val="00EE7D99"/>
    <w:rsid w:val="00EF171A"/>
    <w:rsid w:val="00EF2281"/>
    <w:rsid w:val="00EF2CD3"/>
    <w:rsid w:val="00EF6247"/>
    <w:rsid w:val="00F035FE"/>
    <w:rsid w:val="00F0635C"/>
    <w:rsid w:val="00F27175"/>
    <w:rsid w:val="00F3164C"/>
    <w:rsid w:val="00F31F5D"/>
    <w:rsid w:val="00F33181"/>
    <w:rsid w:val="00F34A1E"/>
    <w:rsid w:val="00F35107"/>
    <w:rsid w:val="00F363C6"/>
    <w:rsid w:val="00F36D67"/>
    <w:rsid w:val="00F37877"/>
    <w:rsid w:val="00F37BFD"/>
    <w:rsid w:val="00F409EE"/>
    <w:rsid w:val="00F42B38"/>
    <w:rsid w:val="00F43276"/>
    <w:rsid w:val="00F43833"/>
    <w:rsid w:val="00F46626"/>
    <w:rsid w:val="00F469EF"/>
    <w:rsid w:val="00F522F2"/>
    <w:rsid w:val="00F53CEE"/>
    <w:rsid w:val="00F54E9C"/>
    <w:rsid w:val="00F55C20"/>
    <w:rsid w:val="00F56057"/>
    <w:rsid w:val="00F61C19"/>
    <w:rsid w:val="00F643DE"/>
    <w:rsid w:val="00F65A16"/>
    <w:rsid w:val="00F661DC"/>
    <w:rsid w:val="00F67752"/>
    <w:rsid w:val="00F71924"/>
    <w:rsid w:val="00F72280"/>
    <w:rsid w:val="00F72512"/>
    <w:rsid w:val="00F77128"/>
    <w:rsid w:val="00F87290"/>
    <w:rsid w:val="00F87C6D"/>
    <w:rsid w:val="00F9261A"/>
    <w:rsid w:val="00F92858"/>
    <w:rsid w:val="00F94753"/>
    <w:rsid w:val="00F954C8"/>
    <w:rsid w:val="00F97466"/>
    <w:rsid w:val="00FA018D"/>
    <w:rsid w:val="00FA1770"/>
    <w:rsid w:val="00FA7EB8"/>
    <w:rsid w:val="00FB0B08"/>
    <w:rsid w:val="00FB0ECE"/>
    <w:rsid w:val="00FB209B"/>
    <w:rsid w:val="00FB2920"/>
    <w:rsid w:val="00FB41F8"/>
    <w:rsid w:val="00FB4384"/>
    <w:rsid w:val="00FB4809"/>
    <w:rsid w:val="00FB6034"/>
    <w:rsid w:val="00FB76F9"/>
    <w:rsid w:val="00FB7836"/>
    <w:rsid w:val="00FC0F74"/>
    <w:rsid w:val="00FC502A"/>
    <w:rsid w:val="00FD0683"/>
    <w:rsid w:val="00FD549B"/>
    <w:rsid w:val="00FE4306"/>
    <w:rsid w:val="00FE5776"/>
    <w:rsid w:val="00FE5EC5"/>
    <w:rsid w:val="00FE6679"/>
    <w:rsid w:val="00FF0765"/>
    <w:rsid w:val="00FF3A8E"/>
    <w:rsid w:val="00FF406F"/>
    <w:rsid w:val="00FF4357"/>
    <w:rsid w:val="00FF48BA"/>
    <w:rsid w:val="00FF58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DE3A2"/>
  <w15:chartTrackingRefBased/>
  <w15:docId w15:val="{3D0ED8D7-B10F-46FF-AC4C-0679F5C5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3F"/>
    <w:pPr>
      <w:spacing w:line="276" w:lineRule="auto"/>
      <w:jc w:val="both"/>
    </w:pPr>
    <w:rPr>
      <w:rFonts w:ascii="Times New Roman" w:hAnsi="Times New Roman"/>
    </w:rPr>
  </w:style>
  <w:style w:type="paragraph" w:styleId="Heading1">
    <w:name w:val="heading 1"/>
    <w:basedOn w:val="Title"/>
    <w:next w:val="Heading2"/>
    <w:link w:val="Heading1Char"/>
    <w:uiPriority w:val="9"/>
    <w:qFormat/>
    <w:rsid w:val="00283B3F"/>
    <w:pPr>
      <w:numPr>
        <w:numId w:val="2"/>
      </w:numPr>
      <w:tabs>
        <w:tab w:val="left" w:pos="425"/>
      </w:tabs>
      <w:spacing w:after="120"/>
      <w:ind w:left="431" w:hanging="431"/>
      <w:jc w:val="both"/>
      <w:outlineLvl w:val="0"/>
    </w:pPr>
  </w:style>
  <w:style w:type="paragraph" w:styleId="Heading2">
    <w:name w:val="heading 2"/>
    <w:basedOn w:val="Normal"/>
    <w:link w:val="Heading2Char"/>
    <w:uiPriority w:val="9"/>
    <w:unhideWhenUsed/>
    <w:qFormat/>
    <w:rsid w:val="00847C4C"/>
    <w:pPr>
      <w:widowControl w:val="0"/>
      <w:numPr>
        <w:ilvl w:val="1"/>
        <w:numId w:val="2"/>
      </w:numPr>
      <w:tabs>
        <w:tab w:val="left" w:pos="539"/>
        <w:tab w:val="left" w:pos="709"/>
      </w:tabs>
      <w:spacing w:before="120" w:after="120"/>
      <w:ind w:left="0" w:firstLine="0"/>
      <w:outlineLvl w:val="1"/>
    </w:pPr>
    <w:rPr>
      <w:rFonts w:eastAsiaTheme="majorEastAsia" w:cstheme="majorBidi"/>
      <w:szCs w:val="26"/>
    </w:rPr>
  </w:style>
  <w:style w:type="paragraph" w:styleId="Heading3">
    <w:name w:val="heading 3"/>
    <w:basedOn w:val="Normal"/>
    <w:link w:val="Heading3Char"/>
    <w:autoRedefine/>
    <w:uiPriority w:val="9"/>
    <w:unhideWhenUsed/>
    <w:qFormat/>
    <w:rsid w:val="00A36691"/>
    <w:pPr>
      <w:widowControl w:val="0"/>
      <w:numPr>
        <w:ilvl w:val="2"/>
        <w:numId w:val="2"/>
      </w:numPr>
      <w:tabs>
        <w:tab w:val="left" w:pos="992"/>
      </w:tabs>
      <w:spacing w:before="120"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2300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300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3007"/>
    <w:pPr>
      <w:keepNext/>
      <w:keepLines/>
      <w:numPr>
        <w:ilvl w:val="5"/>
        <w:numId w:val="2"/>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3007"/>
    <w:pPr>
      <w:keepNext/>
      <w:keepLines/>
      <w:numPr>
        <w:ilvl w:val="6"/>
        <w:numId w:val="2"/>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3007"/>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007"/>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140"/>
  </w:style>
  <w:style w:type="paragraph" w:styleId="Footer">
    <w:name w:val="footer"/>
    <w:basedOn w:val="Normal"/>
    <w:link w:val="FooterChar"/>
    <w:uiPriority w:val="99"/>
    <w:unhideWhenUsed/>
    <w:rsid w:val="00616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140"/>
  </w:style>
  <w:style w:type="table" w:styleId="TableGrid">
    <w:name w:val="Table Grid"/>
    <w:basedOn w:val="TableNormal"/>
    <w:uiPriority w:val="39"/>
    <w:rsid w:val="0061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3B3F"/>
    <w:rPr>
      <w:rFonts w:ascii="Arial" w:eastAsiaTheme="majorEastAsia" w:hAnsi="Arial" w:cstheme="majorBidi"/>
      <w:b/>
      <w:sz w:val="24"/>
      <w:szCs w:val="26"/>
    </w:rPr>
  </w:style>
  <w:style w:type="character" w:customStyle="1" w:styleId="Heading2Char">
    <w:name w:val="Heading 2 Char"/>
    <w:basedOn w:val="DefaultParagraphFont"/>
    <w:link w:val="Heading2"/>
    <w:uiPriority w:val="9"/>
    <w:rsid w:val="00847C4C"/>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A36691"/>
    <w:rPr>
      <w:rFonts w:ascii="Times New Roman" w:eastAsiaTheme="majorEastAsia" w:hAnsi="Times New Roman" w:cstheme="majorBidi"/>
      <w:szCs w:val="24"/>
    </w:rPr>
  </w:style>
  <w:style w:type="paragraph" w:styleId="ListParagraph">
    <w:name w:val="List Paragraph"/>
    <w:basedOn w:val="Normal"/>
    <w:uiPriority w:val="34"/>
    <w:qFormat/>
    <w:rsid w:val="00616140"/>
    <w:pPr>
      <w:ind w:left="720"/>
      <w:contextualSpacing/>
    </w:pPr>
  </w:style>
  <w:style w:type="character" w:styleId="Strong">
    <w:name w:val="Strong"/>
    <w:basedOn w:val="DefaultParagraphFont"/>
    <w:uiPriority w:val="22"/>
    <w:qFormat/>
    <w:rsid w:val="006C3A71"/>
    <w:rPr>
      <w:b/>
      <w:bCs/>
    </w:rPr>
  </w:style>
  <w:style w:type="paragraph" w:styleId="Quote">
    <w:name w:val="Quote"/>
    <w:basedOn w:val="Normal"/>
    <w:next w:val="Normal"/>
    <w:link w:val="QuoteChar"/>
    <w:uiPriority w:val="29"/>
    <w:qFormat/>
    <w:rsid w:val="006C3A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3A71"/>
    <w:rPr>
      <w:rFonts w:ascii="Times New Roman" w:hAnsi="Times New Roman"/>
      <w:i/>
      <w:iCs/>
      <w:color w:val="404040" w:themeColor="text1" w:themeTint="BF"/>
    </w:rPr>
  </w:style>
  <w:style w:type="character" w:styleId="IntenseEmphasis">
    <w:name w:val="Intense Emphasis"/>
    <w:basedOn w:val="DefaultParagraphFont"/>
    <w:uiPriority w:val="21"/>
    <w:qFormat/>
    <w:rsid w:val="00E136A6"/>
    <w:rPr>
      <w:i/>
      <w:iCs/>
      <w:color w:val="4472C4" w:themeColor="accent1"/>
    </w:rPr>
  </w:style>
  <w:style w:type="paragraph" w:styleId="Title">
    <w:name w:val="Title"/>
    <w:next w:val="Normal"/>
    <w:link w:val="TitleChar"/>
    <w:uiPriority w:val="10"/>
    <w:qFormat/>
    <w:rsid w:val="004A722D"/>
    <w:pPr>
      <w:spacing w:after="240" w:line="276" w:lineRule="auto"/>
      <w:jc w:val="center"/>
    </w:pPr>
    <w:rPr>
      <w:rFonts w:ascii="Arial" w:eastAsiaTheme="majorEastAsia" w:hAnsi="Arial" w:cstheme="majorBidi"/>
      <w:b/>
      <w:sz w:val="24"/>
      <w:szCs w:val="26"/>
    </w:rPr>
  </w:style>
  <w:style w:type="character" w:customStyle="1" w:styleId="TitleChar">
    <w:name w:val="Title Char"/>
    <w:basedOn w:val="DefaultParagraphFont"/>
    <w:link w:val="Title"/>
    <w:uiPriority w:val="10"/>
    <w:rsid w:val="004A722D"/>
    <w:rPr>
      <w:rFonts w:ascii="Arial" w:eastAsiaTheme="majorEastAsia" w:hAnsi="Arial" w:cstheme="majorBidi"/>
      <w:b/>
      <w:sz w:val="24"/>
      <w:szCs w:val="26"/>
    </w:rPr>
  </w:style>
  <w:style w:type="character" w:customStyle="1" w:styleId="Heading4Char">
    <w:name w:val="Heading 4 Char"/>
    <w:basedOn w:val="DefaultParagraphFont"/>
    <w:link w:val="Heading4"/>
    <w:uiPriority w:val="9"/>
    <w:rsid w:val="003230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30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300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30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30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3007"/>
    <w:rPr>
      <w:rFonts w:asciiTheme="majorHAnsi" w:eastAsiaTheme="majorEastAsia" w:hAnsiTheme="majorHAnsi" w:cstheme="majorBidi"/>
      <w:i/>
      <w:iCs/>
      <w:color w:val="272727" w:themeColor="text1" w:themeTint="D8"/>
      <w:sz w:val="21"/>
      <w:szCs w:val="21"/>
    </w:rPr>
  </w:style>
  <w:style w:type="paragraph" w:styleId="Caption">
    <w:name w:val="caption"/>
    <w:basedOn w:val="Heading2"/>
    <w:next w:val="Normal"/>
    <w:uiPriority w:val="35"/>
    <w:unhideWhenUsed/>
    <w:qFormat/>
    <w:rsid w:val="004B7586"/>
    <w:pPr>
      <w:numPr>
        <w:ilvl w:val="0"/>
        <w:numId w:val="0"/>
      </w:numPr>
      <w:spacing w:after="200" w:line="240" w:lineRule="auto"/>
      <w:jc w:val="center"/>
    </w:pPr>
    <w:rPr>
      <w:iCs/>
      <w:sz w:val="20"/>
      <w:szCs w:val="18"/>
    </w:rPr>
  </w:style>
  <w:style w:type="character" w:styleId="Hyperlink">
    <w:name w:val="Hyperlink"/>
    <w:basedOn w:val="DefaultParagraphFont"/>
    <w:uiPriority w:val="99"/>
    <w:unhideWhenUsed/>
    <w:rsid w:val="00BC2FC2"/>
    <w:rPr>
      <w:color w:val="0000FF"/>
      <w:u w:val="single"/>
    </w:rPr>
  </w:style>
  <w:style w:type="character" w:styleId="UnresolvedMention">
    <w:name w:val="Unresolved Mention"/>
    <w:basedOn w:val="DefaultParagraphFont"/>
    <w:uiPriority w:val="99"/>
    <w:semiHidden/>
    <w:unhideWhenUsed/>
    <w:rsid w:val="0096579A"/>
    <w:rPr>
      <w:color w:val="605E5C"/>
      <w:shd w:val="clear" w:color="auto" w:fill="E1DFDD"/>
    </w:rPr>
  </w:style>
  <w:style w:type="character" w:styleId="FollowedHyperlink">
    <w:name w:val="FollowedHyperlink"/>
    <w:basedOn w:val="DefaultParagraphFont"/>
    <w:uiPriority w:val="99"/>
    <w:semiHidden/>
    <w:unhideWhenUsed/>
    <w:rsid w:val="00186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2556583/" TargetMode="External"/><Relationship Id="rId18" Type="http://schemas.openxmlformats.org/officeDocument/2006/relationships/hyperlink" Target="https://www.inorganicventures.com/periodic-tab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waterloo.ca/safety-office/laboratory-safety/hazardous-waste-standard" TargetMode="External"/><Relationship Id="rId17" Type="http://schemas.openxmlformats.org/officeDocument/2006/relationships/hyperlink" Target="https://www.inorganicventures.com/trace-analysis-guide/ashing-procedures" TargetMode="External"/><Relationship Id="rId2" Type="http://schemas.openxmlformats.org/officeDocument/2006/relationships/customXml" Target="../customXml/item2.xml"/><Relationship Id="rId16" Type="http://schemas.openxmlformats.org/officeDocument/2006/relationships/hyperlink" Target="https://www.inorganicventures.com/sample-preparation-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organicventures.com/icp-guide/elemental-and-matrix-compatibilit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85146C144684BB0489ACA01C4DF94" ma:contentTypeVersion="13" ma:contentTypeDescription="Create a new document." ma:contentTypeScope="" ma:versionID="e93f7be71247ca2365e1d1348aba6a54">
  <xsd:schema xmlns:xsd="http://www.w3.org/2001/XMLSchema" xmlns:xs="http://www.w3.org/2001/XMLSchema" xmlns:p="http://schemas.microsoft.com/office/2006/metadata/properties" xmlns:ns3="47247e70-edba-40bc-8cb5-16d1e82bf681" xmlns:ns4="8dbf7a86-c0e5-4fe5-968c-7e9d7acd5bbf" targetNamespace="http://schemas.microsoft.com/office/2006/metadata/properties" ma:root="true" ma:fieldsID="a05ae192db45205b421520c791c7db2b" ns3:_="" ns4:_="">
    <xsd:import namespace="47247e70-edba-40bc-8cb5-16d1e82bf681"/>
    <xsd:import namespace="8dbf7a86-c0e5-4fe5-968c-7e9d7acd5b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47e70-edba-40bc-8cb5-16d1e82b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f7a86-c0e5-4fe5-968c-7e9d7acd5b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4A5D-4207-4619-AD34-423CF3A7C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47e70-edba-40bc-8cb5-16d1e82bf681"/>
    <ds:schemaRef ds:uri="8dbf7a86-c0e5-4fe5-968c-7e9d7acd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23311-32D0-48EA-A5EB-74B09C22F520}">
  <ds:schemaRefs>
    <ds:schemaRef ds:uri="http://schemas.microsoft.com/sharepoint/v3/contenttype/forms"/>
  </ds:schemaRefs>
</ds:datastoreItem>
</file>

<file path=customXml/itemProps3.xml><?xml version="1.0" encoding="utf-8"?>
<ds:datastoreItem xmlns:ds="http://schemas.openxmlformats.org/officeDocument/2006/customXml" ds:itemID="{971FE376-1CA7-4EEF-A801-1AE1B6794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C2ED1-EFE7-4CDF-BE5A-C6E5CC93EF1F}">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500</TotalTime>
  <Pages>7</Pages>
  <Words>2813</Words>
  <Characters>15048</Characters>
  <Application>Microsoft Office Word</Application>
  <DocSecurity>0</DocSecurity>
  <Lines>243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Links>
    <vt:vector size="48" baseType="variant">
      <vt:variant>
        <vt:i4>1966080</vt:i4>
      </vt:variant>
      <vt:variant>
        <vt:i4>105</vt:i4>
      </vt:variant>
      <vt:variant>
        <vt:i4>0</vt:i4>
      </vt:variant>
      <vt:variant>
        <vt:i4>5</vt:i4>
      </vt:variant>
      <vt:variant>
        <vt:lpwstr>https://chesp.uwaterloo.ca/sites/analytical/Shared Documents/TGA/UAmanual.pdf</vt:lpwstr>
      </vt:variant>
      <vt:variant>
        <vt:lpwstr/>
      </vt:variant>
      <vt:variant>
        <vt:i4>4194324</vt:i4>
      </vt:variant>
      <vt:variant>
        <vt:i4>102</vt:i4>
      </vt:variant>
      <vt:variant>
        <vt:i4>0</vt:i4>
      </vt:variant>
      <vt:variant>
        <vt:i4>5</vt:i4>
      </vt:variant>
      <vt:variant>
        <vt:lpwstr>https://chesp.uwaterloo.ca/sites/analytical/Shared Documents/TGA/TA Instruments Thermal Advantage Instrument Control Getting Started.pdf</vt:lpwstr>
      </vt:variant>
      <vt:variant>
        <vt:lpwstr/>
      </vt:variant>
      <vt:variant>
        <vt:i4>655375</vt:i4>
      </vt:variant>
      <vt:variant>
        <vt:i4>99</vt:i4>
      </vt:variant>
      <vt:variant>
        <vt:i4>0</vt:i4>
      </vt:variant>
      <vt:variant>
        <vt:i4>5</vt:i4>
      </vt:variant>
      <vt:variant>
        <vt:lpwstr>https://chesp.uwaterloo.ca/sites/analytical/Shared Documents/TGA/QTGAGetStart.pdf</vt:lpwstr>
      </vt:variant>
      <vt:variant>
        <vt:lpwstr/>
      </vt:variant>
      <vt:variant>
        <vt:i4>7208994</vt:i4>
      </vt:variant>
      <vt:variant>
        <vt:i4>96</vt:i4>
      </vt:variant>
      <vt:variant>
        <vt:i4>0</vt:i4>
      </vt:variant>
      <vt:variant>
        <vt:i4>5</vt:i4>
      </vt:variant>
      <vt:variant>
        <vt:lpwstr>https://chesp.uwaterloo.ca/sites/analytical/Shared Documents/TGA/TGA - TA instruments presentation.pdf</vt:lpwstr>
      </vt:variant>
      <vt:variant>
        <vt:lpwstr/>
      </vt:variant>
      <vt:variant>
        <vt:i4>458799</vt:i4>
      </vt:variant>
      <vt:variant>
        <vt:i4>90</vt:i4>
      </vt:variant>
      <vt:variant>
        <vt:i4>0</vt:i4>
      </vt:variant>
      <vt:variant>
        <vt:i4>5</vt:i4>
      </vt:variant>
      <vt:variant>
        <vt:lpwstr>\\chefile\InstrumentData\ChETAINST_E63103</vt:lpwstr>
      </vt:variant>
      <vt:variant>
        <vt:lpwstr/>
      </vt:variant>
      <vt:variant>
        <vt:i4>5898315</vt:i4>
      </vt:variant>
      <vt:variant>
        <vt:i4>87</vt:i4>
      </vt:variant>
      <vt:variant>
        <vt:i4>0</vt:i4>
      </vt:variant>
      <vt:variant>
        <vt:i4>5</vt:i4>
      </vt:variant>
      <vt:variant>
        <vt:lpwstr>https://sendit.uwaterloo.ca/</vt:lpwstr>
      </vt:variant>
      <vt:variant>
        <vt:lpwstr/>
      </vt:variant>
      <vt:variant>
        <vt:i4>5046353</vt:i4>
      </vt:variant>
      <vt:variant>
        <vt:i4>84</vt:i4>
      </vt:variant>
      <vt:variant>
        <vt:i4>0</vt:i4>
      </vt:variant>
      <vt:variant>
        <vt:i4>5</vt:i4>
      </vt:variant>
      <vt:variant>
        <vt:lpwstr>https://youtu.be/lKpSUHQ-AXU</vt:lpwstr>
      </vt:variant>
      <vt:variant>
        <vt:lpwstr/>
      </vt:variant>
      <vt:variant>
        <vt:i4>1900573</vt:i4>
      </vt:variant>
      <vt:variant>
        <vt:i4>81</vt:i4>
      </vt:variant>
      <vt:variant>
        <vt:i4>0</vt:i4>
      </vt:variant>
      <vt:variant>
        <vt:i4>5</vt:i4>
      </vt:variant>
      <vt:variant>
        <vt:lpwstr>https://www.tainstruments.com/installation-of-universal-analysis-from-the-advantage-software-package/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Dal Castel</dc:creator>
  <cp:keywords/>
  <dc:description/>
  <cp:lastModifiedBy>Charles Dal Castel</cp:lastModifiedBy>
  <cp:revision>402</cp:revision>
  <cp:lastPrinted>2022-05-18T16:09:00Z</cp:lastPrinted>
  <dcterms:created xsi:type="dcterms:W3CDTF">2022-03-11T13:53:00Z</dcterms:created>
  <dcterms:modified xsi:type="dcterms:W3CDTF">2025-08-18T18:50:00Z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0x0101008DB85146C144684BB0489ACA01C4DF94</vt:lpwstr>
  </property>
  <property fmtid="{D5CDD505-2E9C-101B-9397-08002B2CF9AE}" pid="3" name="GrammarlyDocumentId">
    <vt:lpwstr>9bf39c6c-732a-4cbd-9d1a-0376fd6a3e79</vt:lpwstr>
  </property>
</Properties>
</file>