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5B378E7F" w:rsidR="005A5663" w:rsidRDefault="009D4D87">
      <w:pPr>
        <w:rPr>
          <w:lang w:val="en-US"/>
        </w:rPr>
      </w:pPr>
      <w:r w:rsidRPr="0E55CC0D">
        <w:rPr>
          <w:b/>
          <w:bCs/>
          <w:lang w:val="en-US"/>
        </w:rPr>
        <w:t>Fall</w:t>
      </w:r>
      <w:r w:rsidR="005A5663" w:rsidRPr="0E55CC0D">
        <w:rPr>
          <w:b/>
          <w:bCs/>
          <w:lang w:val="en-US"/>
        </w:rPr>
        <w:t xml:space="preserve"> 202</w:t>
      </w:r>
      <w:r w:rsidR="003A10A8">
        <w:rPr>
          <w:b/>
          <w:bCs/>
          <w:lang w:val="en-US"/>
        </w:rPr>
        <w:t>5</w:t>
      </w:r>
      <w:r w:rsidR="005A5663" w:rsidRPr="0E55CC0D">
        <w:rPr>
          <w:b/>
          <w:bCs/>
          <w:lang w:val="en-US"/>
        </w:rPr>
        <w:t xml:space="preserve"> TA Job Posting for ECON</w:t>
      </w:r>
      <w:r w:rsidR="005A5663" w:rsidRPr="0E55CC0D">
        <w:rPr>
          <w:lang w:val="en-US"/>
        </w:rPr>
        <w:t xml:space="preserve"> ______</w:t>
      </w:r>
      <w:proofErr w:type="gramStart"/>
      <w:r w:rsidR="4D0C6F49" w:rsidRPr="0E55CC0D">
        <w:rPr>
          <w:lang w:val="en-US"/>
        </w:rPr>
        <w:t>372</w:t>
      </w:r>
      <w:r w:rsidR="005A5663" w:rsidRPr="0E55CC0D">
        <w:rPr>
          <w:lang w:val="en-US"/>
        </w:rPr>
        <w:t>__</w:t>
      </w:r>
      <w:proofErr w:type="gramEnd"/>
      <w:r w:rsidR="005A5663" w:rsidRPr="0E55CC0D">
        <w:rPr>
          <w:lang w:val="en-US"/>
        </w:rPr>
        <w:t>______</w:t>
      </w:r>
      <w:r w:rsidR="00E26E3B" w:rsidRPr="0E55CC0D">
        <w:rPr>
          <w:lang w:val="en-US"/>
        </w:rPr>
        <w:t xml:space="preserve"> (Please fill in your course number)</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2EB99057" w14:textId="6CC2AD58" w:rsidR="00334C9E" w:rsidRDefault="00222C4E">
      <w:pPr>
        <w:rPr>
          <w:lang w:val="en-US"/>
        </w:rPr>
      </w:pPr>
      <w:r>
        <w:rPr>
          <w:lang w:val="en-US"/>
        </w:rPr>
        <w:t>T</w:t>
      </w:r>
      <w:r w:rsidR="48AF7653" w:rsidRPr="0E55CC0D">
        <w:rPr>
          <w:lang w:val="en-US"/>
        </w:rPr>
        <w:t xml:space="preserve">he purpose of this course is to provide students with advanced topics in corporate finance and their applications. The key concepts and topics to be covered include security valuation, risk and return, risk diversification, capital asset pricing model (CAPM), investment performance measurement, financial derivatives, and forecasting. Students will learn how to apply these concepts to </w:t>
      </w:r>
      <w:r w:rsidR="00C97762">
        <w:rPr>
          <w:lang w:val="en-US"/>
        </w:rPr>
        <w:t>real-world</w:t>
      </w:r>
      <w:r w:rsidR="48AF7653" w:rsidRPr="0E55CC0D">
        <w:rPr>
          <w:lang w:val="en-US"/>
        </w:rPr>
        <w:t xml:space="preserve"> problems using various examples and case studies. The course deepens the general framework of </w:t>
      </w:r>
      <w:r w:rsidR="00C97762" w:rsidRPr="0E55CC0D">
        <w:rPr>
          <w:lang w:val="en-US"/>
        </w:rPr>
        <w:t>the financial</w:t>
      </w:r>
      <w:r w:rsidR="48AF7653" w:rsidRPr="0E55CC0D">
        <w:rPr>
          <w:lang w:val="en-US"/>
        </w:rPr>
        <w:t xml:space="preserve"> landscape offered in ECON 371 by discussing the role of financial instruments and institutions in the economy. This course will further develop the analysis of firms’ and investors’ investment and financing decisions. The goal is to develop a deeper understanding of financial markets and investment strategies.</w:t>
      </w:r>
    </w:p>
    <w:p w14:paraId="5DAC5F45" w14:textId="1A565534" w:rsidR="00421E5A" w:rsidRDefault="005A3E9F" w:rsidP="0E55CC0D">
      <w:hyperlink r:id="rId8" w:history="1">
        <w:r w:rsidRPr="00F57B11">
          <w:rPr>
            <w:rStyle w:val="Hyperlink"/>
          </w:rPr>
          <w:t>https://outlin</w:t>
        </w:r>
        <w:r w:rsidRPr="00F57B11">
          <w:rPr>
            <w:rStyle w:val="Hyperlink"/>
          </w:rPr>
          <w:t>e</w:t>
        </w:r>
        <w:r w:rsidRPr="00F57B11">
          <w:rPr>
            <w:rStyle w:val="Hyperlink"/>
          </w:rPr>
          <w:t>.uwaterloo.ca/viewer/view/nzekz3</w:t>
        </w:r>
      </w:hyperlink>
      <w:r>
        <w:t xml:space="preserve"> </w:t>
      </w:r>
    </w:p>
    <w:p w14:paraId="7EBD4DAC" w14:textId="77777777" w:rsidR="005A3E9F" w:rsidRDefault="005A3E9F"/>
    <w:p w14:paraId="45EA2291" w14:textId="14182E85" w:rsidR="006764F1" w:rsidRPr="000E07BD" w:rsidRDefault="006764F1">
      <w:pPr>
        <w:rPr>
          <w:b/>
          <w:bCs/>
          <w:lang w:val="en-US"/>
        </w:rPr>
      </w:pPr>
      <w:r w:rsidRPr="0E55CC0D">
        <w:rPr>
          <w:b/>
          <w:bCs/>
          <w:lang w:val="en-US"/>
        </w:rPr>
        <w:t>Any necessary knowledge or skills needed:</w:t>
      </w:r>
      <w:r w:rsidR="1F6ECC55" w:rsidRPr="0E55CC0D">
        <w:rPr>
          <w:b/>
          <w:bCs/>
          <w:lang w:val="en-US"/>
        </w:rPr>
        <w:t xml:space="preserve"> </w:t>
      </w:r>
    </w:p>
    <w:p w14:paraId="4FDAB49B" w14:textId="031AD037" w:rsidR="005A5663" w:rsidRDefault="1F6ECC55" w:rsidP="0E55CC0D">
      <w:pPr>
        <w:pStyle w:val="ListParagraph"/>
        <w:numPr>
          <w:ilvl w:val="0"/>
          <w:numId w:val="1"/>
        </w:numPr>
        <w:rPr>
          <w:lang w:val="en-US"/>
        </w:rPr>
      </w:pPr>
      <w:r w:rsidRPr="0E55CC0D">
        <w:rPr>
          <w:lang w:val="en-US"/>
        </w:rPr>
        <w:t xml:space="preserve">Undergraduate </w:t>
      </w:r>
      <w:r w:rsidR="52423B5C" w:rsidRPr="0E55CC0D">
        <w:rPr>
          <w:lang w:val="en-US"/>
        </w:rPr>
        <w:t>mathematics for economics</w:t>
      </w:r>
      <w:r w:rsidRPr="0E55CC0D">
        <w:rPr>
          <w:lang w:val="en-US"/>
        </w:rPr>
        <w:t xml:space="preserve"> and statistics (second or third year)</w:t>
      </w:r>
    </w:p>
    <w:p w14:paraId="5F985C41" w14:textId="4FC5F332" w:rsidR="005A5663" w:rsidRDefault="1F6ECC55" w:rsidP="0E55CC0D">
      <w:pPr>
        <w:pStyle w:val="ListParagraph"/>
        <w:numPr>
          <w:ilvl w:val="0"/>
          <w:numId w:val="1"/>
        </w:numPr>
        <w:rPr>
          <w:lang w:val="en-US"/>
        </w:rPr>
      </w:pPr>
      <w:r w:rsidRPr="0E55CC0D">
        <w:rPr>
          <w:lang w:val="en-US"/>
        </w:rPr>
        <w:t xml:space="preserve">Ability to give and receive constructive feedback in </w:t>
      </w:r>
      <w:r w:rsidR="00402764">
        <w:rPr>
          <w:lang w:val="en-US"/>
        </w:rPr>
        <w:t xml:space="preserve">a </w:t>
      </w:r>
      <w:r w:rsidRPr="0E55CC0D">
        <w:rPr>
          <w:lang w:val="en-US"/>
        </w:rPr>
        <w:t>motivating manner</w:t>
      </w:r>
    </w:p>
    <w:p w14:paraId="4AAB8597" w14:textId="2CE391E7"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2C7446">
        <w:rPr>
          <w:lang w:val="en-US"/>
        </w:rPr>
        <w:t>4</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E55CC0D">
        <w:tc>
          <w:tcPr>
            <w:tcW w:w="2337" w:type="dxa"/>
          </w:tcPr>
          <w:p w14:paraId="3CE4D01E" w14:textId="77777777" w:rsidR="005A5663" w:rsidRPr="000E07BD" w:rsidRDefault="005A5663">
            <w:pPr>
              <w:jc w:val="center"/>
              <w:rPr>
                <w:rFonts w:cstheme="minorHAnsi"/>
                <w:b/>
              </w:rPr>
            </w:pPr>
            <w:r w:rsidRPr="000E07BD">
              <w:rPr>
                <w:rFonts w:cstheme="minorHAnsi"/>
                <w:b/>
              </w:rPr>
              <w:t>Duty</w:t>
            </w:r>
          </w:p>
        </w:tc>
        <w:tc>
          <w:tcPr>
            <w:tcW w:w="1708" w:type="dxa"/>
          </w:tcPr>
          <w:p w14:paraId="3110E8F7" w14:textId="26C7FD3A" w:rsidR="005A5663" w:rsidRPr="000E07BD" w:rsidRDefault="000E07BD">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pPr>
              <w:jc w:val="center"/>
              <w:rPr>
                <w:rFonts w:cstheme="minorHAnsi"/>
                <w:b/>
              </w:rPr>
            </w:pPr>
            <w:r w:rsidRPr="000E07BD">
              <w:rPr>
                <w:rFonts w:cstheme="minorHAnsi"/>
                <w:b/>
              </w:rPr>
              <w:t xml:space="preserve">Brief description of unusual or especially time-consuming features of </w:t>
            </w:r>
            <w:proofErr w:type="gramStart"/>
            <w:r w:rsidRPr="000E07BD">
              <w:rPr>
                <w:rFonts w:cstheme="minorHAnsi"/>
                <w:b/>
              </w:rPr>
              <w:t>the duty</w:t>
            </w:r>
            <w:proofErr w:type="gramEnd"/>
            <w:r w:rsidRPr="000E07BD">
              <w:rPr>
                <w:rFonts w:cstheme="minorHAnsi"/>
                <w:b/>
              </w:rPr>
              <w:t>, if any</w:t>
            </w:r>
          </w:p>
        </w:tc>
      </w:tr>
      <w:tr w:rsidR="005A5663" w:rsidRPr="000E07BD" w14:paraId="1948FD0F" w14:textId="77777777" w:rsidTr="0E55CC0D">
        <w:trPr>
          <w:trHeight w:val="413"/>
        </w:trPr>
        <w:tc>
          <w:tcPr>
            <w:tcW w:w="2337" w:type="dxa"/>
          </w:tcPr>
          <w:p w14:paraId="3B015FE7" w14:textId="77777777" w:rsidR="005A5663" w:rsidRPr="000E07BD" w:rsidRDefault="005A5663">
            <w:pPr>
              <w:rPr>
                <w:rFonts w:cstheme="minorHAnsi"/>
              </w:rPr>
            </w:pPr>
            <w:r w:rsidRPr="000E07BD">
              <w:rPr>
                <w:rFonts w:cstheme="minorHAnsi"/>
              </w:rPr>
              <w:t>Meetings with Course Instructor</w:t>
            </w:r>
          </w:p>
        </w:tc>
        <w:tc>
          <w:tcPr>
            <w:tcW w:w="1708" w:type="dxa"/>
          </w:tcPr>
          <w:p w14:paraId="3EC8E22E" w14:textId="04331D0F" w:rsidR="005A5663" w:rsidRPr="000E07BD" w:rsidRDefault="00F20917" w:rsidP="0E55CC0D">
            <w:r>
              <w:t>3.5</w:t>
            </w:r>
          </w:p>
        </w:tc>
        <w:tc>
          <w:tcPr>
            <w:tcW w:w="5670" w:type="dxa"/>
          </w:tcPr>
          <w:p w14:paraId="3B99E091" w14:textId="76203D55" w:rsidR="005A5663" w:rsidRPr="000E07BD" w:rsidRDefault="1489483B" w:rsidP="0E55CC0D">
            <w:r w:rsidRPr="0E55CC0D">
              <w:t xml:space="preserve">We will meet for </w:t>
            </w:r>
            <w:r w:rsidR="00B0005D">
              <w:t>approximately 30 minutes at the beginning of the course and for 30 to 45 minutes after the midterm and assignments to review</w:t>
            </w:r>
            <w:r w:rsidRPr="0E55CC0D">
              <w:t xml:space="preserve"> the answer key</w:t>
            </w:r>
            <w:r w:rsidR="00B0005D">
              <w:t>s</w:t>
            </w:r>
            <w:r w:rsidRPr="0E55CC0D">
              <w:t>.</w:t>
            </w:r>
          </w:p>
        </w:tc>
      </w:tr>
      <w:tr w:rsidR="005A5663" w:rsidRPr="000E07BD" w14:paraId="4564F287" w14:textId="77777777" w:rsidTr="0E55CC0D">
        <w:tc>
          <w:tcPr>
            <w:tcW w:w="2337" w:type="dxa"/>
          </w:tcPr>
          <w:p w14:paraId="2020EEE2" w14:textId="77777777" w:rsidR="005A5663" w:rsidRPr="000E07BD" w:rsidRDefault="005A5663">
            <w:pPr>
              <w:rPr>
                <w:rFonts w:cstheme="minorHAnsi"/>
              </w:rPr>
            </w:pPr>
            <w:r w:rsidRPr="000E07BD">
              <w:rPr>
                <w:rFonts w:cstheme="minorHAnsi"/>
              </w:rPr>
              <w:t>Class preparation</w:t>
            </w:r>
          </w:p>
        </w:tc>
        <w:tc>
          <w:tcPr>
            <w:tcW w:w="1708" w:type="dxa"/>
          </w:tcPr>
          <w:p w14:paraId="2A79240D" w14:textId="27B76940" w:rsidR="005A5663" w:rsidRPr="000E07BD" w:rsidRDefault="0E30EAF1" w:rsidP="0E55CC0D">
            <w:r w:rsidRPr="0E55CC0D">
              <w:t>N/A</w:t>
            </w:r>
          </w:p>
        </w:tc>
        <w:tc>
          <w:tcPr>
            <w:tcW w:w="5670" w:type="dxa"/>
          </w:tcPr>
          <w:p w14:paraId="0468D94C" w14:textId="09E21085" w:rsidR="005A5663" w:rsidRPr="000E07BD" w:rsidRDefault="005A5663">
            <w:pPr>
              <w:rPr>
                <w:rFonts w:cstheme="minorHAnsi"/>
              </w:rPr>
            </w:pPr>
          </w:p>
        </w:tc>
      </w:tr>
      <w:tr w:rsidR="005A5663" w:rsidRPr="000E07BD" w14:paraId="3A7E408B" w14:textId="77777777" w:rsidTr="0E55CC0D">
        <w:tc>
          <w:tcPr>
            <w:tcW w:w="2337" w:type="dxa"/>
          </w:tcPr>
          <w:p w14:paraId="4CB90E8B" w14:textId="77777777" w:rsidR="005A5663" w:rsidRPr="000E07BD" w:rsidRDefault="005A5663">
            <w:pPr>
              <w:rPr>
                <w:rFonts w:cstheme="minorHAnsi"/>
              </w:rPr>
            </w:pPr>
            <w:r w:rsidRPr="000E07BD">
              <w:rPr>
                <w:rFonts w:cstheme="minorHAnsi"/>
              </w:rPr>
              <w:t>Attending lectures</w:t>
            </w:r>
          </w:p>
        </w:tc>
        <w:tc>
          <w:tcPr>
            <w:tcW w:w="1708" w:type="dxa"/>
          </w:tcPr>
          <w:p w14:paraId="726FBABE" w14:textId="6A3C1237" w:rsidR="005A5663" w:rsidRPr="000E07BD" w:rsidRDefault="0E212DBD" w:rsidP="0E55CC0D">
            <w:r w:rsidRPr="0E55CC0D">
              <w:t>N/A</w:t>
            </w:r>
          </w:p>
        </w:tc>
        <w:tc>
          <w:tcPr>
            <w:tcW w:w="5670" w:type="dxa"/>
          </w:tcPr>
          <w:p w14:paraId="435BF978" w14:textId="6C2B42ED" w:rsidR="005A5663" w:rsidRPr="000E07BD" w:rsidRDefault="005A5663">
            <w:pPr>
              <w:rPr>
                <w:rFonts w:cstheme="minorHAnsi"/>
              </w:rPr>
            </w:pPr>
          </w:p>
        </w:tc>
      </w:tr>
      <w:tr w:rsidR="005A5663" w:rsidRPr="000E07BD" w14:paraId="33D2AF9D" w14:textId="77777777" w:rsidTr="0E55CC0D">
        <w:tc>
          <w:tcPr>
            <w:tcW w:w="2337" w:type="dxa"/>
          </w:tcPr>
          <w:p w14:paraId="187EE712" w14:textId="77777777" w:rsidR="005A5663" w:rsidRPr="000E07BD" w:rsidRDefault="005A5663">
            <w:pPr>
              <w:rPr>
                <w:rFonts w:cstheme="minorHAnsi"/>
              </w:rPr>
            </w:pPr>
            <w:r w:rsidRPr="000E07BD">
              <w:rPr>
                <w:rFonts w:cstheme="minorHAnsi"/>
              </w:rPr>
              <w:t>Student consultation; office hours</w:t>
            </w:r>
          </w:p>
        </w:tc>
        <w:tc>
          <w:tcPr>
            <w:tcW w:w="1708" w:type="dxa"/>
          </w:tcPr>
          <w:p w14:paraId="57735775" w14:textId="7E49FE3B" w:rsidR="005A5663" w:rsidRPr="000E07BD" w:rsidRDefault="2EDE7858" w:rsidP="0E55CC0D">
            <w:r w:rsidRPr="0E55CC0D">
              <w:t>2</w:t>
            </w:r>
            <w:r w:rsidR="776BAAED" w:rsidRPr="0E55CC0D">
              <w:t>5</w:t>
            </w:r>
          </w:p>
        </w:tc>
        <w:tc>
          <w:tcPr>
            <w:tcW w:w="5670" w:type="dxa"/>
          </w:tcPr>
          <w:p w14:paraId="7EEF0D00" w14:textId="4ADA150B" w:rsidR="005A5663" w:rsidRPr="000E07BD" w:rsidRDefault="705C98E3" w:rsidP="0E55CC0D">
            <w:r w:rsidRPr="0E55CC0D">
              <w:t>Answering student emails after midterms may be especially time-consuming. I encourage the TAs to coordinate the most mutually agreeable method for consultations with students.</w:t>
            </w:r>
          </w:p>
        </w:tc>
      </w:tr>
      <w:tr w:rsidR="005A5663" w:rsidRPr="000E07BD" w14:paraId="0B420F20" w14:textId="77777777" w:rsidTr="0E55CC0D">
        <w:tc>
          <w:tcPr>
            <w:tcW w:w="2337" w:type="dxa"/>
          </w:tcPr>
          <w:p w14:paraId="34A7E231" w14:textId="77777777" w:rsidR="005A5663" w:rsidRPr="000E07BD" w:rsidRDefault="005A5663">
            <w:pPr>
              <w:rPr>
                <w:rFonts w:cstheme="minorHAnsi"/>
              </w:rPr>
            </w:pPr>
            <w:r w:rsidRPr="000E07BD">
              <w:rPr>
                <w:rFonts w:cstheme="minorHAnsi"/>
              </w:rPr>
              <w:t>Lecturing</w:t>
            </w:r>
          </w:p>
        </w:tc>
        <w:tc>
          <w:tcPr>
            <w:tcW w:w="1708" w:type="dxa"/>
          </w:tcPr>
          <w:p w14:paraId="279D4892" w14:textId="01F68474" w:rsidR="005A5663" w:rsidRPr="000E07BD" w:rsidRDefault="4B9E4CC5" w:rsidP="0E55CC0D">
            <w:r w:rsidRPr="0E55CC0D">
              <w:t>N/A</w:t>
            </w:r>
          </w:p>
        </w:tc>
        <w:tc>
          <w:tcPr>
            <w:tcW w:w="5670" w:type="dxa"/>
          </w:tcPr>
          <w:p w14:paraId="57F5C98D" w14:textId="671D825D" w:rsidR="005A5663" w:rsidRPr="000E07BD" w:rsidRDefault="005A5663">
            <w:pPr>
              <w:rPr>
                <w:rFonts w:cstheme="minorHAnsi"/>
              </w:rPr>
            </w:pPr>
          </w:p>
        </w:tc>
      </w:tr>
      <w:tr w:rsidR="005A5663" w:rsidRPr="000E07BD" w14:paraId="1D85F351" w14:textId="77777777" w:rsidTr="0E55CC0D">
        <w:tc>
          <w:tcPr>
            <w:tcW w:w="2337" w:type="dxa"/>
          </w:tcPr>
          <w:p w14:paraId="004AFD7E" w14:textId="77777777" w:rsidR="005A5663" w:rsidRPr="000E07BD" w:rsidRDefault="005A5663">
            <w:pPr>
              <w:rPr>
                <w:rFonts w:cstheme="minorHAnsi"/>
              </w:rPr>
            </w:pPr>
            <w:r w:rsidRPr="000E07BD">
              <w:rPr>
                <w:rFonts w:cstheme="minorHAnsi"/>
              </w:rPr>
              <w:t>Conducting tutorials</w:t>
            </w:r>
          </w:p>
        </w:tc>
        <w:tc>
          <w:tcPr>
            <w:tcW w:w="1708" w:type="dxa"/>
          </w:tcPr>
          <w:p w14:paraId="57EB8D75" w14:textId="24F0878D" w:rsidR="005A5663" w:rsidRPr="000E07BD" w:rsidRDefault="148E9ECA" w:rsidP="0E55CC0D">
            <w:r w:rsidRPr="0E55CC0D">
              <w:t>N/A</w:t>
            </w:r>
          </w:p>
        </w:tc>
        <w:tc>
          <w:tcPr>
            <w:tcW w:w="5670" w:type="dxa"/>
          </w:tcPr>
          <w:p w14:paraId="029EB4AD" w14:textId="548CBE29" w:rsidR="005A5663" w:rsidRPr="000E07BD" w:rsidRDefault="005A5663">
            <w:pPr>
              <w:rPr>
                <w:rFonts w:cstheme="minorHAnsi"/>
              </w:rPr>
            </w:pPr>
          </w:p>
        </w:tc>
      </w:tr>
      <w:tr w:rsidR="005A5663" w:rsidRPr="000E07BD" w14:paraId="002D3F23" w14:textId="77777777" w:rsidTr="0E55CC0D">
        <w:trPr>
          <w:trHeight w:val="377"/>
        </w:trPr>
        <w:tc>
          <w:tcPr>
            <w:tcW w:w="2337" w:type="dxa"/>
          </w:tcPr>
          <w:p w14:paraId="36D4332F" w14:textId="77777777" w:rsidR="005A5663" w:rsidRPr="000E07BD" w:rsidRDefault="005A5663">
            <w:pPr>
              <w:rPr>
                <w:rFonts w:cstheme="minorHAnsi"/>
              </w:rPr>
            </w:pPr>
            <w:r w:rsidRPr="000E07BD">
              <w:rPr>
                <w:rFonts w:cstheme="minorHAnsi"/>
              </w:rPr>
              <w:t>Grading</w:t>
            </w:r>
          </w:p>
        </w:tc>
        <w:tc>
          <w:tcPr>
            <w:tcW w:w="1708" w:type="dxa"/>
          </w:tcPr>
          <w:p w14:paraId="05BC6ADE" w14:textId="2E875088" w:rsidR="005A5663" w:rsidRPr="000E07BD" w:rsidRDefault="45F9F002" w:rsidP="0E55CC0D">
            <w:r w:rsidRPr="0E55CC0D">
              <w:t>9</w:t>
            </w:r>
            <w:r w:rsidR="5BD50065" w:rsidRPr="0E55CC0D">
              <w:t>0</w:t>
            </w:r>
          </w:p>
        </w:tc>
        <w:tc>
          <w:tcPr>
            <w:tcW w:w="5670" w:type="dxa"/>
          </w:tcPr>
          <w:p w14:paraId="285C837E" w14:textId="68B0B2FB" w:rsidR="005A5663" w:rsidRPr="000E07BD" w:rsidRDefault="05141EF0" w:rsidP="0E55CC0D">
            <w:r w:rsidRPr="0E55CC0D">
              <w:t>Grading is time-consuming. There will be</w:t>
            </w:r>
            <w:r w:rsidR="003A10A8">
              <w:t xml:space="preserve"> one</w:t>
            </w:r>
            <w:r w:rsidRPr="0E55CC0D">
              <w:t xml:space="preserve"> midterm</w:t>
            </w:r>
            <w:r w:rsidR="003A10A8">
              <w:t xml:space="preserve"> and three assignments</w:t>
            </w:r>
            <w:r w:rsidRPr="0E55CC0D">
              <w:t xml:space="preserve"> that the TAs grade based on my answer key. </w:t>
            </w:r>
          </w:p>
        </w:tc>
      </w:tr>
      <w:tr w:rsidR="005A5663" w:rsidRPr="000E07BD" w14:paraId="227F171B" w14:textId="77777777" w:rsidTr="0E55CC0D">
        <w:trPr>
          <w:trHeight w:val="278"/>
        </w:trPr>
        <w:tc>
          <w:tcPr>
            <w:tcW w:w="2337" w:type="dxa"/>
          </w:tcPr>
          <w:p w14:paraId="62DBC454" w14:textId="77777777" w:rsidR="005A5663" w:rsidRPr="000E07BD" w:rsidRDefault="005A5663">
            <w:pPr>
              <w:rPr>
                <w:rFonts w:cstheme="minorHAnsi"/>
              </w:rPr>
            </w:pPr>
            <w:r w:rsidRPr="000E07BD">
              <w:rPr>
                <w:rFonts w:cstheme="minorHAnsi"/>
              </w:rPr>
              <w:t>Proctoring exams</w:t>
            </w:r>
          </w:p>
        </w:tc>
        <w:tc>
          <w:tcPr>
            <w:tcW w:w="1708" w:type="dxa"/>
          </w:tcPr>
          <w:p w14:paraId="2407C793" w14:textId="6C9B0756" w:rsidR="005A5663" w:rsidRPr="000E07BD" w:rsidRDefault="00756413" w:rsidP="0E55CC0D">
            <w:r>
              <w:t>1.5</w:t>
            </w:r>
          </w:p>
        </w:tc>
        <w:tc>
          <w:tcPr>
            <w:tcW w:w="5670" w:type="dxa"/>
          </w:tcPr>
          <w:p w14:paraId="59801A55" w14:textId="3CCA8C5E" w:rsidR="005A5663" w:rsidRPr="000E07BD" w:rsidRDefault="25C1AC57" w:rsidP="0E55CC0D">
            <w:r w:rsidRPr="0E55CC0D">
              <w:t xml:space="preserve">There will be </w:t>
            </w:r>
            <w:r w:rsidR="00756413">
              <w:t xml:space="preserve">one </w:t>
            </w:r>
            <w:r w:rsidRPr="0E55CC0D">
              <w:t>midterm</w:t>
            </w:r>
            <w:r w:rsidR="00756413">
              <w:t>, 1.5 hours in length</w:t>
            </w:r>
            <w:r w:rsidRPr="0E55CC0D">
              <w:t xml:space="preserve">. </w:t>
            </w:r>
          </w:p>
        </w:tc>
      </w:tr>
      <w:tr w:rsidR="005A5663" w:rsidRPr="000E07BD" w14:paraId="122E0744" w14:textId="77777777" w:rsidTr="0E55CC0D">
        <w:tc>
          <w:tcPr>
            <w:tcW w:w="2337" w:type="dxa"/>
          </w:tcPr>
          <w:p w14:paraId="00A633B0" w14:textId="77777777" w:rsidR="005A5663" w:rsidRPr="000E07BD" w:rsidRDefault="005A5663">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6F4DEFCF" w:rsidR="005A5663" w:rsidRPr="000E07BD" w:rsidRDefault="0EFD1CB7" w:rsidP="0E55CC0D">
            <w:r w:rsidRPr="0E55CC0D">
              <w:t>N/A</w:t>
            </w:r>
          </w:p>
        </w:tc>
        <w:tc>
          <w:tcPr>
            <w:tcW w:w="5670" w:type="dxa"/>
          </w:tcPr>
          <w:p w14:paraId="0A5C4E21" w14:textId="0436EE2A" w:rsidR="005A5663" w:rsidRPr="000E07BD" w:rsidRDefault="005A5663">
            <w:pPr>
              <w:rPr>
                <w:rFonts w:cstheme="minorHAnsi"/>
              </w:rPr>
            </w:pPr>
          </w:p>
        </w:tc>
      </w:tr>
      <w:tr w:rsidR="005A5663" w:rsidRPr="000E07BD" w14:paraId="2C7C8B02" w14:textId="77777777" w:rsidTr="0E55CC0D">
        <w:trPr>
          <w:trHeight w:val="258"/>
        </w:trPr>
        <w:tc>
          <w:tcPr>
            <w:tcW w:w="2337" w:type="dxa"/>
          </w:tcPr>
          <w:p w14:paraId="0AD97A8B" w14:textId="77777777" w:rsidR="005A5663" w:rsidRPr="000E07BD" w:rsidRDefault="005A5663">
            <w:pPr>
              <w:rPr>
                <w:rFonts w:cstheme="minorHAnsi"/>
                <w:b/>
              </w:rPr>
            </w:pPr>
            <w:r w:rsidRPr="000E07BD">
              <w:rPr>
                <w:rFonts w:cstheme="minorHAnsi"/>
                <w:b/>
              </w:rPr>
              <w:lastRenderedPageBreak/>
              <w:t>Totals</w:t>
            </w:r>
          </w:p>
        </w:tc>
        <w:tc>
          <w:tcPr>
            <w:tcW w:w="1708" w:type="dxa"/>
            <w:tcBorders>
              <w:top w:val="double" w:sz="4" w:space="0" w:color="auto"/>
            </w:tcBorders>
          </w:tcPr>
          <w:p w14:paraId="543EE1C3" w14:textId="5043D75A" w:rsidR="005A5663" w:rsidRPr="000E07BD" w:rsidRDefault="1F55AA8C" w:rsidP="0E55CC0D">
            <w:r w:rsidRPr="0E55CC0D">
              <w:t>120</w:t>
            </w:r>
          </w:p>
        </w:tc>
        <w:tc>
          <w:tcPr>
            <w:tcW w:w="5670" w:type="dxa"/>
          </w:tcPr>
          <w:p w14:paraId="0B67E9AF" w14:textId="76500660" w:rsidR="005A5663" w:rsidRPr="000E07BD" w:rsidRDefault="005A5663">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E759"/>
    <w:multiLevelType w:val="hybridMultilevel"/>
    <w:tmpl w:val="1494D15A"/>
    <w:lvl w:ilvl="0" w:tplc="E7DEDF10">
      <w:start w:val="1"/>
      <w:numFmt w:val="bullet"/>
      <w:lvlText w:val="-"/>
      <w:lvlJc w:val="left"/>
      <w:pPr>
        <w:ind w:left="720" w:hanging="360"/>
      </w:pPr>
      <w:rPr>
        <w:rFonts w:ascii="Calibri" w:hAnsi="Calibri" w:hint="default"/>
      </w:rPr>
    </w:lvl>
    <w:lvl w:ilvl="1" w:tplc="04B85EE2">
      <w:start w:val="1"/>
      <w:numFmt w:val="bullet"/>
      <w:lvlText w:val="o"/>
      <w:lvlJc w:val="left"/>
      <w:pPr>
        <w:ind w:left="1440" w:hanging="360"/>
      </w:pPr>
      <w:rPr>
        <w:rFonts w:ascii="Courier New" w:hAnsi="Courier New" w:hint="default"/>
      </w:rPr>
    </w:lvl>
    <w:lvl w:ilvl="2" w:tplc="7F9AD2EC">
      <w:start w:val="1"/>
      <w:numFmt w:val="bullet"/>
      <w:lvlText w:val=""/>
      <w:lvlJc w:val="left"/>
      <w:pPr>
        <w:ind w:left="2160" w:hanging="360"/>
      </w:pPr>
      <w:rPr>
        <w:rFonts w:ascii="Wingdings" w:hAnsi="Wingdings" w:hint="default"/>
      </w:rPr>
    </w:lvl>
    <w:lvl w:ilvl="3" w:tplc="2C0E5E50">
      <w:start w:val="1"/>
      <w:numFmt w:val="bullet"/>
      <w:lvlText w:val=""/>
      <w:lvlJc w:val="left"/>
      <w:pPr>
        <w:ind w:left="2880" w:hanging="360"/>
      </w:pPr>
      <w:rPr>
        <w:rFonts w:ascii="Symbol" w:hAnsi="Symbol" w:hint="default"/>
      </w:rPr>
    </w:lvl>
    <w:lvl w:ilvl="4" w:tplc="A7387EA0">
      <w:start w:val="1"/>
      <w:numFmt w:val="bullet"/>
      <w:lvlText w:val="o"/>
      <w:lvlJc w:val="left"/>
      <w:pPr>
        <w:ind w:left="3600" w:hanging="360"/>
      </w:pPr>
      <w:rPr>
        <w:rFonts w:ascii="Courier New" w:hAnsi="Courier New" w:hint="default"/>
      </w:rPr>
    </w:lvl>
    <w:lvl w:ilvl="5" w:tplc="4F027D3E">
      <w:start w:val="1"/>
      <w:numFmt w:val="bullet"/>
      <w:lvlText w:val=""/>
      <w:lvlJc w:val="left"/>
      <w:pPr>
        <w:ind w:left="4320" w:hanging="360"/>
      </w:pPr>
      <w:rPr>
        <w:rFonts w:ascii="Wingdings" w:hAnsi="Wingdings" w:hint="default"/>
      </w:rPr>
    </w:lvl>
    <w:lvl w:ilvl="6" w:tplc="26A85AB0">
      <w:start w:val="1"/>
      <w:numFmt w:val="bullet"/>
      <w:lvlText w:val=""/>
      <w:lvlJc w:val="left"/>
      <w:pPr>
        <w:ind w:left="5040" w:hanging="360"/>
      </w:pPr>
      <w:rPr>
        <w:rFonts w:ascii="Symbol" w:hAnsi="Symbol" w:hint="default"/>
      </w:rPr>
    </w:lvl>
    <w:lvl w:ilvl="7" w:tplc="911E9D70">
      <w:start w:val="1"/>
      <w:numFmt w:val="bullet"/>
      <w:lvlText w:val="o"/>
      <w:lvlJc w:val="left"/>
      <w:pPr>
        <w:ind w:left="5760" w:hanging="360"/>
      </w:pPr>
      <w:rPr>
        <w:rFonts w:ascii="Courier New" w:hAnsi="Courier New" w:hint="default"/>
      </w:rPr>
    </w:lvl>
    <w:lvl w:ilvl="8" w:tplc="465A6A4C">
      <w:start w:val="1"/>
      <w:numFmt w:val="bullet"/>
      <w:lvlText w:val=""/>
      <w:lvlJc w:val="left"/>
      <w:pPr>
        <w:ind w:left="6480" w:hanging="360"/>
      </w:pPr>
      <w:rPr>
        <w:rFonts w:ascii="Wingdings" w:hAnsi="Wingdings" w:hint="default"/>
      </w:rPr>
    </w:lvl>
  </w:abstractNum>
  <w:num w:numId="1" w16cid:durableId="97572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E07BD"/>
    <w:rsid w:val="000F5E2D"/>
    <w:rsid w:val="001F34CE"/>
    <w:rsid w:val="00207755"/>
    <w:rsid w:val="00222C4E"/>
    <w:rsid w:val="00234EBE"/>
    <w:rsid w:val="00235D62"/>
    <w:rsid w:val="002C5C00"/>
    <w:rsid w:val="002C7446"/>
    <w:rsid w:val="00310E2B"/>
    <w:rsid w:val="00334C9E"/>
    <w:rsid w:val="003A10A8"/>
    <w:rsid w:val="003D27E6"/>
    <w:rsid w:val="003E4111"/>
    <w:rsid w:val="00402764"/>
    <w:rsid w:val="00421E5A"/>
    <w:rsid w:val="0048016C"/>
    <w:rsid w:val="0052490C"/>
    <w:rsid w:val="005A3E9F"/>
    <w:rsid w:val="005A5663"/>
    <w:rsid w:val="006764F1"/>
    <w:rsid w:val="00756413"/>
    <w:rsid w:val="007B7A6D"/>
    <w:rsid w:val="008109A9"/>
    <w:rsid w:val="00816BA6"/>
    <w:rsid w:val="00894C05"/>
    <w:rsid w:val="008C2D16"/>
    <w:rsid w:val="009D3366"/>
    <w:rsid w:val="009D4D87"/>
    <w:rsid w:val="009F49A8"/>
    <w:rsid w:val="00AE0C1D"/>
    <w:rsid w:val="00B0005D"/>
    <w:rsid w:val="00B579A6"/>
    <w:rsid w:val="00C51743"/>
    <w:rsid w:val="00C772F5"/>
    <w:rsid w:val="00C97762"/>
    <w:rsid w:val="00E0702B"/>
    <w:rsid w:val="00E26E3B"/>
    <w:rsid w:val="00E56235"/>
    <w:rsid w:val="00E65FD6"/>
    <w:rsid w:val="00EC60C9"/>
    <w:rsid w:val="00F039D1"/>
    <w:rsid w:val="00F17166"/>
    <w:rsid w:val="00F20917"/>
    <w:rsid w:val="05141EF0"/>
    <w:rsid w:val="0527ABAD"/>
    <w:rsid w:val="05A2ACBA"/>
    <w:rsid w:val="0CA85EA9"/>
    <w:rsid w:val="0E212DBD"/>
    <w:rsid w:val="0E30EAF1"/>
    <w:rsid w:val="0E55CC0D"/>
    <w:rsid w:val="0EADECB5"/>
    <w:rsid w:val="0EFD1CB7"/>
    <w:rsid w:val="116368FC"/>
    <w:rsid w:val="1489483B"/>
    <w:rsid w:val="148E9ECA"/>
    <w:rsid w:val="159FA827"/>
    <w:rsid w:val="1754A0E5"/>
    <w:rsid w:val="1BCC0045"/>
    <w:rsid w:val="1C5D74F8"/>
    <w:rsid w:val="1F468A6D"/>
    <w:rsid w:val="1F55AA8C"/>
    <w:rsid w:val="1F6ECC55"/>
    <w:rsid w:val="20E25ACE"/>
    <w:rsid w:val="23195DAB"/>
    <w:rsid w:val="25B5CBF1"/>
    <w:rsid w:val="25C1AC57"/>
    <w:rsid w:val="28F55A39"/>
    <w:rsid w:val="2EDE7858"/>
    <w:rsid w:val="31006C1E"/>
    <w:rsid w:val="329C3C7F"/>
    <w:rsid w:val="45F9F002"/>
    <w:rsid w:val="48606C02"/>
    <w:rsid w:val="48AF7653"/>
    <w:rsid w:val="49256F5B"/>
    <w:rsid w:val="4B9E4CC5"/>
    <w:rsid w:val="4D0C6F49"/>
    <w:rsid w:val="52074E48"/>
    <w:rsid w:val="52423B5C"/>
    <w:rsid w:val="56C98494"/>
    <w:rsid w:val="586554F5"/>
    <w:rsid w:val="5BD50065"/>
    <w:rsid w:val="5E1F8ECB"/>
    <w:rsid w:val="705C98E3"/>
    <w:rsid w:val="724CFAA7"/>
    <w:rsid w:val="72FCF59B"/>
    <w:rsid w:val="7498C5FC"/>
    <w:rsid w:val="7634965D"/>
    <w:rsid w:val="77162292"/>
    <w:rsid w:val="776BAAED"/>
    <w:rsid w:val="7BFE5BAA"/>
    <w:rsid w:val="7E3FA842"/>
    <w:rsid w:val="7FDB7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059D"/>
  <w15:chartTrackingRefBased/>
  <w15:docId w15:val="{D9778E49-2674-4E9A-A9BD-E1557070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222C4E"/>
    <w:rPr>
      <w:color w:val="954F72" w:themeColor="followedHyperlink"/>
      <w:u w:val="single"/>
    </w:rPr>
  </w:style>
  <w:style w:type="character" w:styleId="UnresolvedMention">
    <w:name w:val="Unresolved Mention"/>
    <w:basedOn w:val="DefaultParagraphFont"/>
    <w:uiPriority w:val="99"/>
    <w:semiHidden/>
    <w:unhideWhenUsed/>
    <w:rsid w:val="007B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ine.uwaterloo.ca/viewer/view/nzekz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2286</Characters>
  <Application>Microsoft Office Word</Application>
  <DocSecurity>0</DocSecurity>
  <Lines>67</Lines>
  <Paragraphs>35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Predrag Rajsic</cp:lastModifiedBy>
  <cp:revision>11</cp:revision>
  <dcterms:created xsi:type="dcterms:W3CDTF">2025-07-22T16:35:00Z</dcterms:created>
  <dcterms:modified xsi:type="dcterms:W3CDTF">2025-07-29T12:57:00Z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y fmtid="{D5CDD505-2E9C-101B-9397-08002B2CF9AE}" pid="4" name="GrammarlyDocumentId">
    <vt:lpwstr>0f4603504b6906701c83b8ce34eb7c69b0aabc5b4826384b3c9a28d42658a7ee</vt:lpwstr>
  </property>
</Properties>
</file>