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E66" w:rsidRDefault="00C60E66" w:rsidP="00C60E66">
      <w:pPr>
        <w:pStyle w:val="Heading1"/>
        <w:jc w:val="center"/>
        <w:rPr>
          <w:rFonts w:ascii="Arial" w:hAnsi="Arial" w:cs="Arial"/>
          <w:sz w:val="22"/>
          <w:szCs w:val="22"/>
        </w:rPr>
      </w:pPr>
      <w:bookmarkStart w:id="0" w:name="_Toc396311511"/>
      <w:r w:rsidRPr="00C60E66">
        <w:rPr>
          <w:rFonts w:ascii="Arial" w:hAnsi="Arial" w:cs="Arial"/>
          <w:sz w:val="22"/>
          <w:szCs w:val="22"/>
        </w:rPr>
        <w:t>POST-BRONZE CONSIDERATION</w:t>
      </w:r>
      <w:r>
        <w:rPr>
          <w:rFonts w:ascii="Arial" w:hAnsi="Arial" w:cs="Arial"/>
          <w:sz w:val="22"/>
          <w:szCs w:val="22"/>
        </w:rPr>
        <w:t>s</w:t>
      </w:r>
      <w:r w:rsidRPr="00C60E66">
        <w:rPr>
          <w:rFonts w:ascii="Arial" w:hAnsi="Arial" w:cs="Arial"/>
          <w:sz w:val="22"/>
          <w:szCs w:val="22"/>
        </w:rPr>
        <w:t xml:space="preserve"> BY DRIVER</w:t>
      </w:r>
      <w:bookmarkEnd w:id="0"/>
    </w:p>
    <w:p w:rsidR="00C60E66" w:rsidRPr="00AB10BE" w:rsidRDefault="00C60E66" w:rsidP="00C60E66">
      <w:pPr>
        <w:jc w:val="center"/>
        <w:rPr>
          <w:i/>
        </w:rPr>
      </w:pPr>
      <w:r w:rsidRPr="00AB10BE">
        <w:rPr>
          <w:i/>
        </w:rPr>
        <w:t>Draft August 21, 2014</w:t>
      </w:r>
    </w:p>
    <w:p w:rsidR="00C60E66" w:rsidRPr="00C60E66" w:rsidRDefault="00C60E66" w:rsidP="00C60E66">
      <w:pPr>
        <w:pStyle w:val="Heading2"/>
        <w:rPr>
          <w:rFonts w:ascii="Arial" w:hAnsi="Arial" w:cs="Arial"/>
          <w:sz w:val="22"/>
          <w:szCs w:val="22"/>
        </w:rPr>
      </w:pPr>
      <w:bookmarkStart w:id="1" w:name="_Toc396311512"/>
      <w:r w:rsidRPr="00C60E66">
        <w:rPr>
          <w:rFonts w:ascii="Arial" w:hAnsi="Arial" w:cs="Arial"/>
          <w:sz w:val="22"/>
          <w:szCs w:val="22"/>
        </w:rPr>
        <w:t>1.1 Leadership and Governance</w:t>
      </w:r>
      <w:bookmarkEnd w:id="1"/>
    </w:p>
    <w:p w:rsidR="00C60E66" w:rsidRPr="00C60E66" w:rsidRDefault="00C60E66" w:rsidP="00C60E66">
      <w:pPr>
        <w:numPr>
          <w:ilvl w:val="0"/>
          <w:numId w:val="9"/>
        </w:numPr>
        <w:rPr>
          <w:rFonts w:ascii="Arial" w:hAnsi="Arial" w:cs="Arial"/>
          <w:sz w:val="22"/>
          <w:szCs w:val="22"/>
        </w:rPr>
      </w:pPr>
      <w:r w:rsidRPr="00C60E66">
        <w:rPr>
          <w:rFonts w:ascii="Arial" w:hAnsi="Arial" w:cs="Arial"/>
          <w:sz w:val="22"/>
          <w:szCs w:val="22"/>
        </w:rPr>
        <w:t xml:space="preserve">Create a site that brings together assessment efforts (e.g. statistics, analytics, </w:t>
      </w:r>
      <w:proofErr w:type="spellStart"/>
      <w:r w:rsidRPr="00C60E66">
        <w:rPr>
          <w:rFonts w:ascii="Arial" w:hAnsi="Arial" w:cs="Arial"/>
          <w:sz w:val="22"/>
          <w:szCs w:val="22"/>
        </w:rPr>
        <w:t>LibQUAL</w:t>
      </w:r>
      <w:proofErr w:type="spellEnd"/>
      <w:r w:rsidRPr="00C60E66">
        <w:rPr>
          <w:rFonts w:ascii="Arial" w:hAnsi="Arial" w:cs="Arial"/>
          <w:sz w:val="22"/>
          <w:szCs w:val="22"/>
        </w:rPr>
        <w:t>+ and other survey results, etc.)</w:t>
      </w:r>
    </w:p>
    <w:p w:rsidR="00C60E66" w:rsidRPr="00C60E66" w:rsidRDefault="00C60E66" w:rsidP="00C60E66">
      <w:pPr>
        <w:numPr>
          <w:ilvl w:val="0"/>
          <w:numId w:val="9"/>
        </w:numPr>
        <w:rPr>
          <w:rFonts w:ascii="Arial" w:hAnsi="Arial" w:cs="Arial"/>
          <w:sz w:val="22"/>
          <w:szCs w:val="22"/>
        </w:rPr>
      </w:pPr>
      <w:r w:rsidRPr="00C60E66">
        <w:rPr>
          <w:rFonts w:ascii="Arial" w:hAnsi="Arial" w:cs="Arial"/>
          <w:sz w:val="22"/>
          <w:szCs w:val="22"/>
        </w:rPr>
        <w:t>Create a Library Health and Safety Committee</w:t>
      </w:r>
    </w:p>
    <w:p w:rsidR="00C60E66" w:rsidRPr="00C60E66" w:rsidRDefault="00C60E66" w:rsidP="00C60E66">
      <w:pPr>
        <w:numPr>
          <w:ilvl w:val="0"/>
          <w:numId w:val="9"/>
        </w:numPr>
        <w:rPr>
          <w:rFonts w:ascii="Arial" w:hAnsi="Arial" w:cs="Arial"/>
          <w:sz w:val="22"/>
          <w:szCs w:val="22"/>
        </w:rPr>
      </w:pPr>
      <w:r w:rsidRPr="00C60E66">
        <w:rPr>
          <w:rFonts w:ascii="Arial" w:hAnsi="Arial" w:cs="Arial"/>
          <w:sz w:val="22"/>
          <w:szCs w:val="22"/>
        </w:rPr>
        <w:t>Apply Kaizen to recycling efforts</w:t>
      </w:r>
    </w:p>
    <w:p w:rsidR="00C60E66" w:rsidRPr="00C60E66" w:rsidRDefault="00C60E66" w:rsidP="00C60E66">
      <w:pPr>
        <w:pStyle w:val="Heading2"/>
        <w:rPr>
          <w:rFonts w:ascii="Arial" w:hAnsi="Arial" w:cs="Arial"/>
          <w:sz w:val="22"/>
          <w:szCs w:val="22"/>
        </w:rPr>
      </w:pPr>
      <w:bookmarkStart w:id="2" w:name="_Toc396311513"/>
      <w:r w:rsidRPr="00C60E66">
        <w:rPr>
          <w:rFonts w:ascii="Arial" w:hAnsi="Arial" w:cs="Arial"/>
          <w:sz w:val="22"/>
          <w:szCs w:val="22"/>
        </w:rPr>
        <w:t>1.2 Strategy and Planning</w:t>
      </w:r>
      <w:bookmarkEnd w:id="2"/>
      <w:r w:rsidRPr="00C60E66">
        <w:rPr>
          <w:rFonts w:ascii="Arial" w:hAnsi="Arial" w:cs="Arial"/>
          <w:sz w:val="22"/>
          <w:szCs w:val="22"/>
        </w:rPr>
        <w:t xml:space="preserve"> </w:t>
      </w:r>
    </w:p>
    <w:p w:rsidR="00C60E66" w:rsidRPr="00C60E66" w:rsidRDefault="00C60E66" w:rsidP="00C60E66">
      <w:pPr>
        <w:rPr>
          <w:rFonts w:ascii="Arial" w:hAnsi="Arial" w:cs="Arial"/>
          <w:i/>
          <w:sz w:val="22"/>
          <w:szCs w:val="22"/>
        </w:rPr>
      </w:pPr>
      <w:r w:rsidRPr="00C60E66">
        <w:rPr>
          <w:rFonts w:ascii="Arial" w:hAnsi="Arial" w:cs="Arial"/>
          <w:i/>
          <w:sz w:val="22"/>
          <w:szCs w:val="22"/>
        </w:rPr>
        <w:t>A lesson learned – After a preliminary discussion on the topic of innovation during the Excellence Canada retreat, it was suggested that an open discussion on innovation would be useful. An idea to consider when initiating this discussion is how innovation is viewed through different lens.  There is “Innovation” – planned, strategic initiatives to purposefully foster innovation – and lowercase “innovation,” which refers to the overall culture and smaller, day-to-day innovations that occur within the workplace.</w:t>
      </w:r>
    </w:p>
    <w:p w:rsidR="00C60E66" w:rsidRPr="00C60E66" w:rsidRDefault="00C60E66" w:rsidP="00C60E66">
      <w:pPr>
        <w:numPr>
          <w:ilvl w:val="0"/>
          <w:numId w:val="8"/>
        </w:numPr>
        <w:rPr>
          <w:rFonts w:ascii="Arial" w:hAnsi="Arial" w:cs="Arial"/>
          <w:sz w:val="22"/>
          <w:szCs w:val="22"/>
        </w:rPr>
      </w:pPr>
      <w:r w:rsidRPr="00C60E66">
        <w:rPr>
          <w:rFonts w:ascii="Arial" w:hAnsi="Arial" w:cs="Arial"/>
          <w:sz w:val="22"/>
          <w:szCs w:val="22"/>
        </w:rPr>
        <w:t>Campus</w:t>
      </w:r>
    </w:p>
    <w:p w:rsidR="00C60E66" w:rsidRPr="00C60E66" w:rsidRDefault="00C60E66" w:rsidP="00C60E66">
      <w:pPr>
        <w:numPr>
          <w:ilvl w:val="1"/>
          <w:numId w:val="8"/>
        </w:numPr>
        <w:rPr>
          <w:rFonts w:ascii="Arial" w:hAnsi="Arial" w:cs="Arial"/>
          <w:sz w:val="22"/>
          <w:szCs w:val="22"/>
        </w:rPr>
      </w:pPr>
      <w:r w:rsidRPr="00C60E66">
        <w:rPr>
          <w:rFonts w:ascii="Arial" w:hAnsi="Arial" w:cs="Arial"/>
          <w:sz w:val="22"/>
          <w:szCs w:val="22"/>
        </w:rPr>
        <w:t>Communicate the orientation training date to new employees and their managers at the time of hire to ensure this training happens early in employees’ careers.</w:t>
      </w:r>
    </w:p>
    <w:p w:rsidR="00C60E66" w:rsidRPr="00C60E66" w:rsidRDefault="00C60E66" w:rsidP="00C60E66">
      <w:pPr>
        <w:pStyle w:val="Heading2"/>
        <w:rPr>
          <w:rFonts w:ascii="Arial" w:hAnsi="Arial" w:cs="Arial"/>
          <w:sz w:val="22"/>
          <w:szCs w:val="22"/>
        </w:rPr>
      </w:pPr>
      <w:bookmarkStart w:id="3" w:name="_Toc396311514"/>
      <w:r w:rsidRPr="00C60E66">
        <w:rPr>
          <w:rFonts w:ascii="Arial" w:hAnsi="Arial" w:cs="Arial"/>
          <w:sz w:val="22"/>
          <w:szCs w:val="22"/>
        </w:rPr>
        <w:t>1.3 Customer Experience</w:t>
      </w:r>
      <w:bookmarkEnd w:id="3"/>
    </w:p>
    <w:p w:rsidR="00C60E66" w:rsidRPr="00C60E66" w:rsidRDefault="00C60E66" w:rsidP="00C60E66">
      <w:pPr>
        <w:numPr>
          <w:ilvl w:val="0"/>
          <w:numId w:val="3"/>
        </w:numPr>
        <w:rPr>
          <w:rFonts w:ascii="Arial" w:hAnsi="Arial" w:cs="Arial"/>
          <w:sz w:val="22"/>
          <w:szCs w:val="22"/>
        </w:rPr>
      </w:pPr>
      <w:r w:rsidRPr="00C60E66">
        <w:rPr>
          <w:rFonts w:ascii="Arial" w:hAnsi="Arial" w:cs="Arial"/>
          <w:sz w:val="22"/>
          <w:szCs w:val="22"/>
        </w:rPr>
        <w:t xml:space="preserve">Library </w:t>
      </w:r>
    </w:p>
    <w:p w:rsidR="00C60E66" w:rsidRPr="00C60E66" w:rsidRDefault="00C60E66" w:rsidP="00C60E66">
      <w:pPr>
        <w:numPr>
          <w:ilvl w:val="1"/>
          <w:numId w:val="3"/>
        </w:numPr>
        <w:rPr>
          <w:rFonts w:ascii="Arial" w:hAnsi="Arial" w:cs="Arial"/>
          <w:sz w:val="22"/>
          <w:szCs w:val="22"/>
        </w:rPr>
      </w:pPr>
      <w:r w:rsidRPr="00C60E66">
        <w:rPr>
          <w:rFonts w:ascii="Arial" w:hAnsi="Arial" w:cs="Arial"/>
          <w:sz w:val="22"/>
          <w:szCs w:val="22"/>
        </w:rPr>
        <w:t xml:space="preserve">Ensure that client service guidelines are publicly available on the Library’s website </w:t>
      </w:r>
    </w:p>
    <w:p w:rsidR="00C60E66" w:rsidRPr="00C60E66" w:rsidRDefault="00C60E66" w:rsidP="00C60E66">
      <w:pPr>
        <w:numPr>
          <w:ilvl w:val="1"/>
          <w:numId w:val="3"/>
        </w:numPr>
        <w:rPr>
          <w:rFonts w:ascii="Arial" w:hAnsi="Arial" w:cs="Arial"/>
          <w:sz w:val="22"/>
          <w:szCs w:val="22"/>
        </w:rPr>
      </w:pPr>
      <w:r w:rsidRPr="00C60E66">
        <w:rPr>
          <w:rFonts w:ascii="Arial" w:hAnsi="Arial" w:cs="Arial"/>
          <w:sz w:val="22"/>
          <w:szCs w:val="22"/>
        </w:rPr>
        <w:t>Bring all of the Library’s guidelines and practices together on one webpage for staff to access</w:t>
      </w:r>
    </w:p>
    <w:p w:rsidR="00C60E66" w:rsidRPr="00C60E66" w:rsidRDefault="00C60E66" w:rsidP="00C60E66">
      <w:pPr>
        <w:numPr>
          <w:ilvl w:val="1"/>
          <w:numId w:val="3"/>
        </w:numPr>
        <w:rPr>
          <w:rFonts w:ascii="Arial" w:hAnsi="Arial" w:cs="Arial"/>
          <w:sz w:val="22"/>
          <w:szCs w:val="22"/>
        </w:rPr>
      </w:pPr>
      <w:r w:rsidRPr="00C60E66">
        <w:rPr>
          <w:rFonts w:ascii="Arial" w:hAnsi="Arial" w:cs="Arial"/>
          <w:sz w:val="22"/>
          <w:szCs w:val="22"/>
        </w:rPr>
        <w:t>Refine the Library’s mission statement</w:t>
      </w:r>
    </w:p>
    <w:p w:rsidR="00C60E66" w:rsidRPr="00C60E66" w:rsidRDefault="00C60E66" w:rsidP="00C60E66">
      <w:pPr>
        <w:numPr>
          <w:ilvl w:val="1"/>
          <w:numId w:val="3"/>
        </w:numPr>
        <w:rPr>
          <w:rFonts w:ascii="Arial" w:hAnsi="Arial" w:cs="Arial"/>
          <w:sz w:val="22"/>
          <w:szCs w:val="22"/>
        </w:rPr>
      </w:pPr>
      <w:r w:rsidRPr="00C60E66">
        <w:rPr>
          <w:rFonts w:ascii="Arial" w:hAnsi="Arial" w:cs="Arial"/>
          <w:sz w:val="22"/>
          <w:szCs w:val="22"/>
        </w:rPr>
        <w:t>Reinforce the Library’s values with employees</w:t>
      </w:r>
    </w:p>
    <w:p w:rsidR="00C60E66" w:rsidRPr="00C60E66" w:rsidRDefault="00C60E66" w:rsidP="00C60E66">
      <w:pPr>
        <w:numPr>
          <w:ilvl w:val="1"/>
          <w:numId w:val="3"/>
        </w:numPr>
        <w:rPr>
          <w:rFonts w:ascii="Arial" w:hAnsi="Arial" w:cs="Arial"/>
          <w:sz w:val="22"/>
          <w:szCs w:val="22"/>
        </w:rPr>
      </w:pPr>
      <w:r w:rsidRPr="00C60E66">
        <w:rPr>
          <w:rFonts w:ascii="Arial" w:hAnsi="Arial" w:cs="Arial"/>
          <w:sz w:val="22"/>
          <w:szCs w:val="22"/>
        </w:rPr>
        <w:t>Further integrate the Basic Principles of the University of Waterloo Workplace into the Library’s practices and spaces</w:t>
      </w:r>
    </w:p>
    <w:p w:rsidR="00C60E66" w:rsidRPr="00C60E66" w:rsidRDefault="00C60E66" w:rsidP="00C60E66">
      <w:pPr>
        <w:numPr>
          <w:ilvl w:val="1"/>
          <w:numId w:val="3"/>
        </w:numPr>
        <w:rPr>
          <w:rFonts w:ascii="Arial" w:hAnsi="Arial" w:cs="Arial"/>
          <w:sz w:val="22"/>
          <w:szCs w:val="22"/>
        </w:rPr>
      </w:pPr>
      <w:r w:rsidRPr="00C60E66">
        <w:rPr>
          <w:rFonts w:ascii="Arial" w:hAnsi="Arial" w:cs="Arial"/>
          <w:sz w:val="22"/>
          <w:szCs w:val="22"/>
        </w:rPr>
        <w:t>“The Library’s employees have an excellent commitment to customer service that is characterized by a strong service ethic and a “go above &amp; beyond” attitude that never starts with “no.”</w:t>
      </w:r>
    </w:p>
    <w:p w:rsidR="00C60E66" w:rsidRPr="00C60E66" w:rsidRDefault="00C60E66" w:rsidP="00C60E66">
      <w:pPr>
        <w:numPr>
          <w:ilvl w:val="2"/>
          <w:numId w:val="3"/>
        </w:numPr>
        <w:rPr>
          <w:rFonts w:ascii="Arial" w:hAnsi="Arial" w:cs="Arial"/>
          <w:sz w:val="22"/>
          <w:szCs w:val="22"/>
        </w:rPr>
      </w:pPr>
      <w:r w:rsidRPr="00C60E66">
        <w:rPr>
          <w:rFonts w:ascii="Arial" w:hAnsi="Arial" w:cs="Arial"/>
          <w:sz w:val="22"/>
          <w:szCs w:val="22"/>
        </w:rPr>
        <w:t>We cut the “that never starts with ‘no’” part from the introductory statement in the 1.3 d bronze document, because we didn’t feel that this statement would resonate with everyone. We identified post-bronze versions as “the goal is never to start with ‘no’” and working up to the original statement as written above.</w:t>
      </w:r>
    </w:p>
    <w:p w:rsidR="00C60E66" w:rsidRPr="00C60E66" w:rsidRDefault="00C60E66" w:rsidP="00C60E66">
      <w:pPr>
        <w:numPr>
          <w:ilvl w:val="0"/>
          <w:numId w:val="3"/>
        </w:numPr>
        <w:rPr>
          <w:rFonts w:ascii="Arial" w:hAnsi="Arial" w:cs="Arial"/>
          <w:sz w:val="22"/>
          <w:szCs w:val="22"/>
        </w:rPr>
      </w:pPr>
      <w:r w:rsidRPr="00C60E66">
        <w:rPr>
          <w:rFonts w:ascii="Arial" w:hAnsi="Arial" w:cs="Arial"/>
          <w:sz w:val="22"/>
          <w:szCs w:val="22"/>
        </w:rPr>
        <w:t xml:space="preserve">Campus </w:t>
      </w:r>
    </w:p>
    <w:p w:rsidR="00C60E66" w:rsidRPr="00C60E66" w:rsidRDefault="00C60E66" w:rsidP="00C60E66">
      <w:pPr>
        <w:numPr>
          <w:ilvl w:val="1"/>
          <w:numId w:val="3"/>
        </w:numPr>
        <w:rPr>
          <w:rFonts w:ascii="Arial" w:hAnsi="Arial" w:cs="Arial"/>
          <w:sz w:val="22"/>
          <w:szCs w:val="22"/>
        </w:rPr>
      </w:pPr>
      <w:r w:rsidRPr="00C60E66">
        <w:rPr>
          <w:rFonts w:ascii="Arial" w:hAnsi="Arial" w:cs="Arial"/>
          <w:sz w:val="22"/>
          <w:szCs w:val="22"/>
        </w:rPr>
        <w:t>Develop a customer experience statement</w:t>
      </w:r>
    </w:p>
    <w:p w:rsidR="00C60E66" w:rsidRPr="00C60E66" w:rsidRDefault="00C60E66" w:rsidP="00C60E66">
      <w:pPr>
        <w:numPr>
          <w:ilvl w:val="1"/>
          <w:numId w:val="3"/>
        </w:numPr>
        <w:rPr>
          <w:rFonts w:ascii="Arial" w:hAnsi="Arial" w:cs="Arial"/>
          <w:sz w:val="22"/>
          <w:szCs w:val="22"/>
        </w:rPr>
      </w:pPr>
      <w:r w:rsidRPr="00C60E66">
        <w:rPr>
          <w:rFonts w:ascii="Arial" w:hAnsi="Arial" w:cs="Arial"/>
          <w:sz w:val="22"/>
          <w:szCs w:val="22"/>
        </w:rPr>
        <w:t>Improve way finding across campus</w:t>
      </w:r>
    </w:p>
    <w:p w:rsidR="00C60E66" w:rsidRPr="00C60E66" w:rsidRDefault="00C60E66" w:rsidP="00C60E66">
      <w:pPr>
        <w:pStyle w:val="Heading2"/>
        <w:rPr>
          <w:rFonts w:ascii="Arial" w:hAnsi="Arial" w:cs="Arial"/>
          <w:sz w:val="22"/>
          <w:szCs w:val="22"/>
        </w:rPr>
      </w:pPr>
      <w:bookmarkStart w:id="4" w:name="_Toc396311515"/>
      <w:r w:rsidRPr="00C60E66">
        <w:rPr>
          <w:rFonts w:ascii="Arial" w:hAnsi="Arial" w:cs="Arial"/>
          <w:sz w:val="22"/>
          <w:szCs w:val="22"/>
        </w:rPr>
        <w:t>1.4 People Engagement</w:t>
      </w:r>
      <w:bookmarkEnd w:id="4"/>
    </w:p>
    <w:p w:rsidR="00C60E66" w:rsidRPr="00C60E66" w:rsidRDefault="00C60E66" w:rsidP="00C60E66">
      <w:pPr>
        <w:numPr>
          <w:ilvl w:val="0"/>
          <w:numId w:val="1"/>
        </w:numPr>
        <w:rPr>
          <w:rFonts w:ascii="Arial" w:hAnsi="Arial" w:cs="Arial"/>
          <w:sz w:val="22"/>
          <w:szCs w:val="22"/>
        </w:rPr>
      </w:pPr>
      <w:r w:rsidRPr="00C60E66">
        <w:rPr>
          <w:rFonts w:ascii="Arial" w:hAnsi="Arial" w:cs="Arial"/>
          <w:sz w:val="22"/>
          <w:szCs w:val="22"/>
        </w:rPr>
        <w:t>Library</w:t>
      </w:r>
    </w:p>
    <w:p w:rsidR="00C60E66" w:rsidRPr="00C60E66" w:rsidRDefault="00C60E66" w:rsidP="00C60E66">
      <w:pPr>
        <w:numPr>
          <w:ilvl w:val="1"/>
          <w:numId w:val="4"/>
        </w:numPr>
        <w:rPr>
          <w:rFonts w:ascii="Arial" w:hAnsi="Arial" w:cs="Arial"/>
          <w:sz w:val="22"/>
          <w:szCs w:val="22"/>
        </w:rPr>
      </w:pPr>
      <w:r w:rsidRPr="00C60E66">
        <w:rPr>
          <w:rFonts w:ascii="Arial" w:hAnsi="Arial" w:cs="Arial"/>
          <w:sz w:val="22"/>
          <w:szCs w:val="22"/>
        </w:rPr>
        <w:t>Review how guidelines that apply to staff are organized and made accessible online to staff.</w:t>
      </w:r>
    </w:p>
    <w:p w:rsidR="00C60E66" w:rsidRPr="00C60E66" w:rsidRDefault="00C60E66" w:rsidP="00C60E66">
      <w:pPr>
        <w:numPr>
          <w:ilvl w:val="1"/>
          <w:numId w:val="4"/>
        </w:numPr>
        <w:rPr>
          <w:rFonts w:ascii="Arial" w:hAnsi="Arial" w:cs="Arial"/>
          <w:sz w:val="22"/>
          <w:szCs w:val="22"/>
        </w:rPr>
      </w:pPr>
      <w:r w:rsidRPr="00C60E66">
        <w:rPr>
          <w:rFonts w:ascii="Arial" w:hAnsi="Arial" w:cs="Arial"/>
          <w:sz w:val="22"/>
          <w:szCs w:val="22"/>
        </w:rPr>
        <w:t>Take action to tangibly address workload concerns (e.g. Are new projects necessary? Can some work be prioritized, delegated, or postponed?)</w:t>
      </w:r>
    </w:p>
    <w:p w:rsidR="00C60E66" w:rsidRPr="00C60E66" w:rsidRDefault="00C60E66" w:rsidP="00C60E66">
      <w:pPr>
        <w:numPr>
          <w:ilvl w:val="1"/>
          <w:numId w:val="4"/>
        </w:numPr>
        <w:rPr>
          <w:rFonts w:ascii="Arial" w:hAnsi="Arial" w:cs="Arial"/>
          <w:sz w:val="22"/>
          <w:szCs w:val="22"/>
        </w:rPr>
      </w:pPr>
      <w:r w:rsidRPr="00C60E66">
        <w:rPr>
          <w:rFonts w:ascii="Arial" w:hAnsi="Arial" w:cs="Arial"/>
          <w:sz w:val="22"/>
          <w:szCs w:val="22"/>
        </w:rPr>
        <w:t>Look for ways to ensure a maximum level of engagement from library employees during the Library’s excellence journey. Actively engage those employees who may be more difficult to reach or less likely to participate (e.g. casual student employees).</w:t>
      </w:r>
    </w:p>
    <w:p w:rsidR="00C60E66" w:rsidRPr="00C60E66" w:rsidRDefault="00C60E66" w:rsidP="00C60E66">
      <w:pPr>
        <w:numPr>
          <w:ilvl w:val="0"/>
          <w:numId w:val="1"/>
        </w:numPr>
        <w:rPr>
          <w:rFonts w:ascii="Arial" w:hAnsi="Arial" w:cs="Arial"/>
          <w:sz w:val="22"/>
          <w:szCs w:val="22"/>
        </w:rPr>
      </w:pPr>
      <w:r w:rsidRPr="00C60E66">
        <w:rPr>
          <w:rFonts w:ascii="Arial" w:hAnsi="Arial" w:cs="Arial"/>
          <w:sz w:val="22"/>
          <w:szCs w:val="22"/>
        </w:rPr>
        <w:t xml:space="preserve">Campus </w:t>
      </w:r>
    </w:p>
    <w:p w:rsidR="00C60E66" w:rsidRPr="00C60E66" w:rsidRDefault="00C60E66" w:rsidP="00C60E66">
      <w:pPr>
        <w:numPr>
          <w:ilvl w:val="1"/>
          <w:numId w:val="5"/>
        </w:numPr>
        <w:rPr>
          <w:rFonts w:ascii="Arial" w:hAnsi="Arial" w:cs="Arial"/>
          <w:sz w:val="22"/>
          <w:szCs w:val="22"/>
        </w:rPr>
      </w:pPr>
      <w:r w:rsidRPr="00C60E66">
        <w:rPr>
          <w:rFonts w:ascii="Arial" w:hAnsi="Arial" w:cs="Arial"/>
          <w:sz w:val="22"/>
          <w:szCs w:val="22"/>
        </w:rPr>
        <w:t>Provide opportunities for refresher training or additional training</w:t>
      </w:r>
    </w:p>
    <w:p w:rsidR="00C60E66" w:rsidRPr="00C60E66" w:rsidRDefault="00C60E66" w:rsidP="00C60E66">
      <w:pPr>
        <w:numPr>
          <w:ilvl w:val="1"/>
          <w:numId w:val="5"/>
        </w:numPr>
        <w:rPr>
          <w:rFonts w:ascii="Arial" w:hAnsi="Arial" w:cs="Arial"/>
          <w:sz w:val="22"/>
          <w:szCs w:val="22"/>
        </w:rPr>
      </w:pPr>
      <w:r w:rsidRPr="00C60E66">
        <w:rPr>
          <w:rFonts w:ascii="Arial" w:hAnsi="Arial" w:cs="Arial"/>
          <w:sz w:val="22"/>
          <w:szCs w:val="22"/>
        </w:rPr>
        <w:t>Assess if diversity policies are reflected in recruitment</w:t>
      </w:r>
    </w:p>
    <w:p w:rsidR="00C60E66" w:rsidRPr="00C60E66" w:rsidRDefault="00C60E66" w:rsidP="00C60E66">
      <w:pPr>
        <w:numPr>
          <w:ilvl w:val="1"/>
          <w:numId w:val="5"/>
        </w:numPr>
        <w:rPr>
          <w:rFonts w:ascii="Arial" w:hAnsi="Arial" w:cs="Arial"/>
          <w:sz w:val="22"/>
          <w:szCs w:val="22"/>
        </w:rPr>
      </w:pPr>
      <w:r w:rsidRPr="00C60E66">
        <w:rPr>
          <w:rFonts w:ascii="Arial" w:hAnsi="Arial" w:cs="Arial"/>
          <w:sz w:val="22"/>
          <w:szCs w:val="22"/>
        </w:rPr>
        <w:t>Integrate job hazard analysis systematically into the development of job descriptions</w:t>
      </w:r>
    </w:p>
    <w:p w:rsidR="00C60E66" w:rsidRPr="00C60E66" w:rsidRDefault="00C60E66" w:rsidP="00C60E66">
      <w:pPr>
        <w:numPr>
          <w:ilvl w:val="1"/>
          <w:numId w:val="5"/>
        </w:numPr>
        <w:rPr>
          <w:rFonts w:ascii="Arial" w:hAnsi="Arial" w:cs="Arial"/>
          <w:sz w:val="22"/>
          <w:szCs w:val="22"/>
        </w:rPr>
      </w:pPr>
      <w:r w:rsidRPr="00C60E66">
        <w:rPr>
          <w:rFonts w:ascii="Arial" w:hAnsi="Arial" w:cs="Arial"/>
          <w:sz w:val="22"/>
          <w:szCs w:val="22"/>
        </w:rPr>
        <w:t>Improve the usability of the Human Resources website (e.g. make information on health coverage easier to find)</w:t>
      </w:r>
    </w:p>
    <w:p w:rsidR="00C60E66" w:rsidRPr="00C60E66" w:rsidRDefault="00C60E66" w:rsidP="00C60E66">
      <w:pPr>
        <w:numPr>
          <w:ilvl w:val="1"/>
          <w:numId w:val="5"/>
        </w:numPr>
        <w:rPr>
          <w:rFonts w:ascii="Arial" w:hAnsi="Arial" w:cs="Arial"/>
          <w:sz w:val="22"/>
          <w:szCs w:val="22"/>
        </w:rPr>
      </w:pPr>
      <w:r w:rsidRPr="00C60E66">
        <w:rPr>
          <w:rFonts w:ascii="Arial" w:hAnsi="Arial" w:cs="Arial"/>
          <w:sz w:val="22"/>
          <w:szCs w:val="22"/>
        </w:rPr>
        <w:t>Implement a trial period for new/revised policies</w:t>
      </w:r>
    </w:p>
    <w:p w:rsidR="00C60E66" w:rsidRPr="00C60E66" w:rsidRDefault="00C60E66" w:rsidP="00C60E66">
      <w:pPr>
        <w:numPr>
          <w:ilvl w:val="1"/>
          <w:numId w:val="5"/>
        </w:numPr>
        <w:rPr>
          <w:rFonts w:ascii="Arial" w:hAnsi="Arial" w:cs="Arial"/>
          <w:sz w:val="22"/>
          <w:szCs w:val="22"/>
        </w:rPr>
      </w:pPr>
      <w:r w:rsidRPr="00C60E66">
        <w:rPr>
          <w:rFonts w:ascii="Arial" w:hAnsi="Arial" w:cs="Arial"/>
          <w:sz w:val="22"/>
          <w:szCs w:val="22"/>
        </w:rPr>
        <w:t>Revise the PA process for efficiency (format, schedule)</w:t>
      </w:r>
    </w:p>
    <w:p w:rsidR="00C60E66" w:rsidRPr="00C60E66" w:rsidRDefault="00C60E66" w:rsidP="00C60E66">
      <w:pPr>
        <w:numPr>
          <w:ilvl w:val="1"/>
          <w:numId w:val="5"/>
        </w:numPr>
        <w:rPr>
          <w:rFonts w:ascii="Arial" w:hAnsi="Arial" w:cs="Arial"/>
          <w:sz w:val="22"/>
          <w:szCs w:val="22"/>
        </w:rPr>
      </w:pPr>
      <w:r w:rsidRPr="00C60E66">
        <w:rPr>
          <w:rFonts w:ascii="Arial" w:hAnsi="Arial" w:cs="Arial"/>
          <w:sz w:val="22"/>
          <w:szCs w:val="22"/>
        </w:rPr>
        <w:t>Communicate first-year vacation policy to new recruits</w:t>
      </w:r>
    </w:p>
    <w:p w:rsidR="00C60E66" w:rsidRPr="00C60E66" w:rsidRDefault="00C60E66" w:rsidP="00C60E66">
      <w:pPr>
        <w:numPr>
          <w:ilvl w:val="1"/>
          <w:numId w:val="5"/>
        </w:numPr>
        <w:rPr>
          <w:rFonts w:ascii="Arial" w:hAnsi="Arial" w:cs="Arial"/>
          <w:sz w:val="22"/>
          <w:szCs w:val="22"/>
        </w:rPr>
      </w:pPr>
      <w:r w:rsidRPr="00C60E66">
        <w:rPr>
          <w:rFonts w:ascii="Arial" w:hAnsi="Arial" w:cs="Arial"/>
          <w:sz w:val="22"/>
          <w:szCs w:val="22"/>
        </w:rPr>
        <w:t>Create a training module to introduce employees to the Excellence Canada Standards. Include this training in new employee orientation.</w:t>
      </w:r>
    </w:p>
    <w:p w:rsidR="00C60E66" w:rsidRPr="00C60E66" w:rsidRDefault="00C60E66" w:rsidP="00C60E66">
      <w:pPr>
        <w:numPr>
          <w:ilvl w:val="1"/>
          <w:numId w:val="5"/>
        </w:numPr>
        <w:rPr>
          <w:rFonts w:ascii="Arial" w:hAnsi="Arial" w:cs="Arial"/>
          <w:sz w:val="22"/>
          <w:szCs w:val="22"/>
        </w:rPr>
      </w:pPr>
      <w:r w:rsidRPr="00C60E66">
        <w:rPr>
          <w:rFonts w:ascii="Arial" w:hAnsi="Arial" w:cs="Arial"/>
          <w:sz w:val="22"/>
          <w:szCs w:val="22"/>
        </w:rPr>
        <w:t>Extend EAP services so they are more accessible to staff working at satellite locations.</w:t>
      </w:r>
    </w:p>
    <w:p w:rsidR="00C60E66" w:rsidRPr="00C60E66" w:rsidRDefault="00C60E66" w:rsidP="00C60E66">
      <w:pPr>
        <w:pStyle w:val="Heading2"/>
        <w:rPr>
          <w:rFonts w:ascii="Arial" w:hAnsi="Arial" w:cs="Arial"/>
          <w:sz w:val="22"/>
          <w:szCs w:val="22"/>
        </w:rPr>
      </w:pPr>
      <w:bookmarkStart w:id="5" w:name="_Toc396311516"/>
      <w:r w:rsidRPr="00C60E66">
        <w:rPr>
          <w:rFonts w:ascii="Arial" w:hAnsi="Arial" w:cs="Arial"/>
          <w:sz w:val="22"/>
          <w:szCs w:val="22"/>
        </w:rPr>
        <w:t>1.5 Process and Project Management</w:t>
      </w:r>
      <w:bookmarkEnd w:id="5"/>
    </w:p>
    <w:p w:rsidR="00C60E66" w:rsidRPr="00C60E66" w:rsidRDefault="00C60E66" w:rsidP="00C60E66">
      <w:pPr>
        <w:numPr>
          <w:ilvl w:val="0"/>
          <w:numId w:val="1"/>
        </w:numPr>
        <w:rPr>
          <w:rFonts w:ascii="Arial" w:hAnsi="Arial" w:cs="Arial"/>
          <w:sz w:val="22"/>
          <w:szCs w:val="22"/>
        </w:rPr>
      </w:pPr>
      <w:r w:rsidRPr="00C60E66">
        <w:rPr>
          <w:rFonts w:ascii="Arial" w:hAnsi="Arial" w:cs="Arial"/>
          <w:sz w:val="22"/>
          <w:szCs w:val="22"/>
        </w:rPr>
        <w:t>Determine and articulate the level of process and project management skills required for different projects (e.g. Informal discussion with a supervisor versus a project requiring a charter and plan).</w:t>
      </w:r>
    </w:p>
    <w:p w:rsidR="00C60E66" w:rsidRPr="00C60E66" w:rsidRDefault="00C60E66" w:rsidP="00C60E66">
      <w:pPr>
        <w:pStyle w:val="Heading2"/>
        <w:rPr>
          <w:rFonts w:ascii="Arial" w:hAnsi="Arial" w:cs="Arial"/>
          <w:sz w:val="22"/>
          <w:szCs w:val="22"/>
        </w:rPr>
      </w:pPr>
      <w:bookmarkStart w:id="6" w:name="_Toc396311517"/>
      <w:r w:rsidRPr="00C60E66">
        <w:rPr>
          <w:rFonts w:ascii="Arial" w:hAnsi="Arial" w:cs="Arial"/>
          <w:sz w:val="22"/>
          <w:szCs w:val="22"/>
        </w:rPr>
        <w:t>1.6 Partners and Suppliers</w:t>
      </w:r>
      <w:bookmarkEnd w:id="6"/>
    </w:p>
    <w:p w:rsidR="00C60E66" w:rsidRPr="00C60E66" w:rsidRDefault="00C60E66" w:rsidP="00C60E66">
      <w:pPr>
        <w:numPr>
          <w:ilvl w:val="0"/>
          <w:numId w:val="2"/>
        </w:numPr>
        <w:rPr>
          <w:rFonts w:ascii="Arial" w:hAnsi="Arial" w:cs="Arial"/>
          <w:sz w:val="22"/>
          <w:szCs w:val="22"/>
        </w:rPr>
      </w:pPr>
      <w:r w:rsidRPr="00C60E66">
        <w:rPr>
          <w:rFonts w:ascii="Arial" w:hAnsi="Arial" w:cs="Arial"/>
          <w:sz w:val="22"/>
          <w:szCs w:val="22"/>
        </w:rPr>
        <w:t>“There is very little that the Library does that it does not do in partnership.”</w:t>
      </w:r>
    </w:p>
    <w:p w:rsidR="00C60E66" w:rsidRPr="00C60E66" w:rsidRDefault="00C60E66" w:rsidP="00C60E66">
      <w:pPr>
        <w:numPr>
          <w:ilvl w:val="1"/>
          <w:numId w:val="6"/>
        </w:numPr>
        <w:rPr>
          <w:rFonts w:ascii="Arial" w:hAnsi="Arial" w:cs="Arial"/>
          <w:sz w:val="22"/>
          <w:szCs w:val="22"/>
        </w:rPr>
      </w:pPr>
      <w:r w:rsidRPr="00C60E66">
        <w:rPr>
          <w:rFonts w:ascii="Arial" w:hAnsi="Arial" w:cs="Arial"/>
          <w:sz w:val="22"/>
          <w:szCs w:val="22"/>
        </w:rPr>
        <w:t>Identify what the “very little” is that the Library does that is NOT in partnership. Is there an opportunity here? For example, an activity like shelving may seem independent, but perhaps the Library could increase students’ knowledge of the Library and its services and resources and these students could become even greater advocates for the Library.</w:t>
      </w:r>
    </w:p>
    <w:p w:rsidR="00C60E66" w:rsidRPr="00C60E66" w:rsidRDefault="00C60E66" w:rsidP="00C60E66">
      <w:pPr>
        <w:numPr>
          <w:ilvl w:val="0"/>
          <w:numId w:val="2"/>
        </w:numPr>
        <w:rPr>
          <w:rFonts w:ascii="Arial" w:hAnsi="Arial" w:cs="Arial"/>
          <w:sz w:val="22"/>
          <w:szCs w:val="22"/>
        </w:rPr>
      </w:pPr>
      <w:r w:rsidRPr="00C60E66">
        <w:rPr>
          <w:rFonts w:ascii="Arial" w:hAnsi="Arial" w:cs="Arial"/>
          <w:sz w:val="22"/>
          <w:szCs w:val="22"/>
        </w:rPr>
        <w:t>“Donors are essential and valued partners.”</w:t>
      </w:r>
    </w:p>
    <w:p w:rsidR="00C60E66" w:rsidRPr="00C60E66" w:rsidRDefault="00C60E66" w:rsidP="00C60E66">
      <w:pPr>
        <w:numPr>
          <w:ilvl w:val="1"/>
          <w:numId w:val="7"/>
        </w:numPr>
        <w:rPr>
          <w:rFonts w:ascii="Arial" w:hAnsi="Arial" w:cs="Arial"/>
          <w:sz w:val="22"/>
          <w:szCs w:val="22"/>
        </w:rPr>
      </w:pPr>
      <w:r w:rsidRPr="00C60E66">
        <w:rPr>
          <w:rFonts w:ascii="Arial" w:hAnsi="Arial" w:cs="Arial"/>
          <w:sz w:val="22"/>
          <w:szCs w:val="22"/>
        </w:rPr>
        <w:t xml:space="preserve">Are donors being appropriately acknowledged? E.g. </w:t>
      </w:r>
      <w:proofErr w:type="gramStart"/>
      <w:r w:rsidRPr="00C60E66">
        <w:rPr>
          <w:rFonts w:ascii="Arial" w:hAnsi="Arial" w:cs="Arial"/>
          <w:sz w:val="22"/>
          <w:szCs w:val="22"/>
        </w:rPr>
        <w:t>Do</w:t>
      </w:r>
      <w:proofErr w:type="gramEnd"/>
      <w:r w:rsidRPr="00C60E66">
        <w:rPr>
          <w:rFonts w:ascii="Arial" w:hAnsi="Arial" w:cs="Arial"/>
          <w:sz w:val="22"/>
          <w:szCs w:val="22"/>
        </w:rPr>
        <w:t xml:space="preserve"> we highlight resources that were made possible by donations somewhere on our website?</w:t>
      </w:r>
    </w:p>
    <w:p w:rsidR="00C60E66" w:rsidRPr="00C60E66" w:rsidRDefault="00C60E66" w:rsidP="00C60E66">
      <w:pPr>
        <w:numPr>
          <w:ilvl w:val="0"/>
          <w:numId w:val="2"/>
        </w:numPr>
        <w:rPr>
          <w:rFonts w:ascii="Arial" w:hAnsi="Arial" w:cs="Arial"/>
          <w:sz w:val="22"/>
          <w:szCs w:val="22"/>
        </w:rPr>
      </w:pPr>
      <w:r w:rsidRPr="00C60E66">
        <w:rPr>
          <w:rFonts w:ascii="Arial" w:hAnsi="Arial" w:cs="Arial"/>
          <w:sz w:val="22"/>
          <w:szCs w:val="22"/>
        </w:rPr>
        <w:t>Document local licensing principles and create a Waterloo model license</w:t>
      </w:r>
    </w:p>
    <w:p w:rsidR="00F260CF" w:rsidRPr="00C60E66" w:rsidRDefault="00F260CF">
      <w:pPr>
        <w:rPr>
          <w:rFonts w:ascii="Arial" w:hAnsi="Arial" w:cs="Arial"/>
          <w:sz w:val="22"/>
          <w:szCs w:val="22"/>
        </w:rPr>
      </w:pPr>
    </w:p>
    <w:sectPr w:rsidR="00F260CF" w:rsidRPr="00C60E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487E"/>
    <w:multiLevelType w:val="hybridMultilevel"/>
    <w:tmpl w:val="A0FEAA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62760C"/>
    <w:multiLevelType w:val="hybridMultilevel"/>
    <w:tmpl w:val="0B0C18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A6097F"/>
    <w:multiLevelType w:val="hybridMultilevel"/>
    <w:tmpl w:val="EBFCCE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3C6398"/>
    <w:multiLevelType w:val="hybridMultilevel"/>
    <w:tmpl w:val="690A45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A06B12"/>
    <w:multiLevelType w:val="hybridMultilevel"/>
    <w:tmpl w:val="D9B69AA4"/>
    <w:lvl w:ilvl="0" w:tplc="D96CC2BA">
      <w:numFmt w:val="bullet"/>
      <w:lvlText w:val="•"/>
      <w:lvlJc w:val="left"/>
      <w:pPr>
        <w:ind w:left="720" w:hanging="360"/>
      </w:pPr>
      <w:rPr>
        <w:rFonts w:ascii="Calibri" w:eastAsia="Times New Roman"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23F6372"/>
    <w:multiLevelType w:val="hybridMultilevel"/>
    <w:tmpl w:val="B44EA952"/>
    <w:lvl w:ilvl="0" w:tplc="D96CC2BA">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836108A"/>
    <w:multiLevelType w:val="hybridMultilevel"/>
    <w:tmpl w:val="40AEBF6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38135E6"/>
    <w:multiLevelType w:val="hybridMultilevel"/>
    <w:tmpl w:val="E3723338"/>
    <w:lvl w:ilvl="0" w:tplc="D96CC2BA">
      <w:numFmt w:val="bullet"/>
      <w:lvlText w:val="•"/>
      <w:lvlJc w:val="left"/>
      <w:pPr>
        <w:ind w:left="771" w:hanging="360"/>
      </w:pPr>
      <w:rPr>
        <w:rFonts w:ascii="Calibri" w:eastAsia="Times New Roman" w:hAnsi="Calibri" w:cs="Times New Roman" w:hint="default"/>
      </w:rPr>
    </w:lvl>
    <w:lvl w:ilvl="1" w:tplc="10090003">
      <w:start w:val="1"/>
      <w:numFmt w:val="bullet"/>
      <w:lvlText w:val="o"/>
      <w:lvlJc w:val="left"/>
      <w:pPr>
        <w:ind w:left="1491" w:hanging="360"/>
      </w:pPr>
      <w:rPr>
        <w:rFonts w:ascii="Courier New" w:hAnsi="Courier New" w:cs="Courier New" w:hint="default"/>
      </w:rPr>
    </w:lvl>
    <w:lvl w:ilvl="2" w:tplc="10090005" w:tentative="1">
      <w:start w:val="1"/>
      <w:numFmt w:val="bullet"/>
      <w:lvlText w:val=""/>
      <w:lvlJc w:val="left"/>
      <w:pPr>
        <w:ind w:left="2211" w:hanging="360"/>
      </w:pPr>
      <w:rPr>
        <w:rFonts w:ascii="Wingdings" w:hAnsi="Wingdings" w:hint="default"/>
      </w:rPr>
    </w:lvl>
    <w:lvl w:ilvl="3" w:tplc="10090001" w:tentative="1">
      <w:start w:val="1"/>
      <w:numFmt w:val="bullet"/>
      <w:lvlText w:val=""/>
      <w:lvlJc w:val="left"/>
      <w:pPr>
        <w:ind w:left="2931" w:hanging="360"/>
      </w:pPr>
      <w:rPr>
        <w:rFonts w:ascii="Symbol" w:hAnsi="Symbol" w:hint="default"/>
      </w:rPr>
    </w:lvl>
    <w:lvl w:ilvl="4" w:tplc="10090003" w:tentative="1">
      <w:start w:val="1"/>
      <w:numFmt w:val="bullet"/>
      <w:lvlText w:val="o"/>
      <w:lvlJc w:val="left"/>
      <w:pPr>
        <w:ind w:left="3651" w:hanging="360"/>
      </w:pPr>
      <w:rPr>
        <w:rFonts w:ascii="Courier New" w:hAnsi="Courier New" w:cs="Courier New" w:hint="default"/>
      </w:rPr>
    </w:lvl>
    <w:lvl w:ilvl="5" w:tplc="10090005" w:tentative="1">
      <w:start w:val="1"/>
      <w:numFmt w:val="bullet"/>
      <w:lvlText w:val=""/>
      <w:lvlJc w:val="left"/>
      <w:pPr>
        <w:ind w:left="4371" w:hanging="360"/>
      </w:pPr>
      <w:rPr>
        <w:rFonts w:ascii="Wingdings" w:hAnsi="Wingdings" w:hint="default"/>
      </w:rPr>
    </w:lvl>
    <w:lvl w:ilvl="6" w:tplc="10090001" w:tentative="1">
      <w:start w:val="1"/>
      <w:numFmt w:val="bullet"/>
      <w:lvlText w:val=""/>
      <w:lvlJc w:val="left"/>
      <w:pPr>
        <w:ind w:left="5091" w:hanging="360"/>
      </w:pPr>
      <w:rPr>
        <w:rFonts w:ascii="Symbol" w:hAnsi="Symbol" w:hint="default"/>
      </w:rPr>
    </w:lvl>
    <w:lvl w:ilvl="7" w:tplc="10090003" w:tentative="1">
      <w:start w:val="1"/>
      <w:numFmt w:val="bullet"/>
      <w:lvlText w:val="o"/>
      <w:lvlJc w:val="left"/>
      <w:pPr>
        <w:ind w:left="5811" w:hanging="360"/>
      </w:pPr>
      <w:rPr>
        <w:rFonts w:ascii="Courier New" w:hAnsi="Courier New" w:cs="Courier New" w:hint="default"/>
      </w:rPr>
    </w:lvl>
    <w:lvl w:ilvl="8" w:tplc="10090005" w:tentative="1">
      <w:start w:val="1"/>
      <w:numFmt w:val="bullet"/>
      <w:lvlText w:val=""/>
      <w:lvlJc w:val="left"/>
      <w:pPr>
        <w:ind w:left="6531" w:hanging="360"/>
      </w:pPr>
      <w:rPr>
        <w:rFonts w:ascii="Wingdings" w:hAnsi="Wingdings" w:hint="default"/>
      </w:rPr>
    </w:lvl>
  </w:abstractNum>
  <w:abstractNum w:abstractNumId="8" w15:restartNumberingAfterBreak="0">
    <w:nsid w:val="707E6937"/>
    <w:multiLevelType w:val="hybridMultilevel"/>
    <w:tmpl w:val="5F14DE94"/>
    <w:lvl w:ilvl="0" w:tplc="BBAEAD74">
      <w:start w:val="3"/>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0"/>
  </w:num>
  <w:num w:numId="5">
    <w:abstractNumId w:val="8"/>
  </w:num>
  <w:num w:numId="6">
    <w:abstractNumId w:val="1"/>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E66"/>
    <w:rsid w:val="00AB10BE"/>
    <w:rsid w:val="00C60E66"/>
    <w:rsid w:val="00F260CF"/>
    <w:rsid w:val="00FB36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D0F9F-B437-4076-87A1-6885D231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E66"/>
    <w:pPr>
      <w:spacing w:after="240" w:line="240" w:lineRule="auto"/>
    </w:pPr>
    <w:rPr>
      <w:rFonts w:ascii="Calibri" w:eastAsia="Times New Roman" w:hAnsi="Calibri" w:cs="Times New Roman"/>
      <w:sz w:val="24"/>
      <w:szCs w:val="24"/>
      <w:lang w:val="en-US"/>
    </w:rPr>
  </w:style>
  <w:style w:type="paragraph" w:styleId="Heading1">
    <w:name w:val="heading 1"/>
    <w:basedOn w:val="Normal"/>
    <w:next w:val="Normal"/>
    <w:link w:val="Heading1Char"/>
    <w:qFormat/>
    <w:rsid w:val="00C60E66"/>
    <w:pPr>
      <w:keepNext/>
      <w:spacing w:before="240" w:after="60"/>
      <w:outlineLvl w:val="0"/>
    </w:pPr>
    <w:rPr>
      <w:b/>
      <w:bCs/>
      <w:smallCaps/>
      <w:kern w:val="32"/>
      <w:sz w:val="32"/>
      <w:szCs w:val="32"/>
    </w:rPr>
  </w:style>
  <w:style w:type="paragraph" w:styleId="Heading2">
    <w:name w:val="heading 2"/>
    <w:basedOn w:val="Normal"/>
    <w:next w:val="Normal"/>
    <w:link w:val="Heading2Char"/>
    <w:qFormat/>
    <w:rsid w:val="00C60E66"/>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0E66"/>
    <w:rPr>
      <w:rFonts w:ascii="Calibri" w:eastAsia="Times New Roman" w:hAnsi="Calibri" w:cs="Times New Roman"/>
      <w:b/>
      <w:bCs/>
      <w:smallCaps/>
      <w:kern w:val="32"/>
      <w:sz w:val="32"/>
      <w:szCs w:val="32"/>
      <w:lang w:val="en-US"/>
    </w:rPr>
  </w:style>
  <w:style w:type="character" w:customStyle="1" w:styleId="Heading2Char">
    <w:name w:val="Heading 2 Char"/>
    <w:basedOn w:val="DefaultParagraphFont"/>
    <w:link w:val="Heading2"/>
    <w:rsid w:val="00C60E66"/>
    <w:rPr>
      <w:rFonts w:ascii="Calibri" w:eastAsia="Times New Roman" w:hAnsi="Calibri" w:cs="Times New Roman"/>
      <w:b/>
      <w:bCs/>
      <w:i/>
      <w:i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Haslett</dc:creator>
  <cp:keywords/>
  <dc:description/>
  <cp:lastModifiedBy>Mark Haslett</cp:lastModifiedBy>
  <cp:revision>2</cp:revision>
  <dcterms:created xsi:type="dcterms:W3CDTF">2014-10-22T19:04:00Z</dcterms:created>
  <dcterms:modified xsi:type="dcterms:W3CDTF">2014-10-22T19:08:00Z</dcterms:modified>
</cp:coreProperties>
</file>