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7C" w:rsidRPr="005347A3" w:rsidRDefault="00FE797C" w:rsidP="00FE797C">
      <w:pPr>
        <w:pStyle w:val="ListParagraph"/>
        <w:ind w:left="-207" w:right="-574"/>
        <w:jc w:val="center"/>
        <w:rPr>
          <w:sz w:val="22"/>
          <w:szCs w:val="22"/>
        </w:rPr>
      </w:pPr>
      <w:r w:rsidRPr="005347A3">
        <w:rPr>
          <w:sz w:val="22"/>
          <w:szCs w:val="22"/>
        </w:rPr>
        <w:t>UWRA Annual General Meeting</w:t>
      </w:r>
    </w:p>
    <w:p w:rsidR="00FE797C" w:rsidRPr="005347A3" w:rsidRDefault="00FE797C" w:rsidP="00FE797C">
      <w:pPr>
        <w:pStyle w:val="ListParagraph"/>
        <w:ind w:left="-207" w:right="-574"/>
        <w:jc w:val="center"/>
        <w:rPr>
          <w:sz w:val="22"/>
          <w:szCs w:val="22"/>
        </w:rPr>
      </w:pPr>
      <w:r w:rsidRPr="005347A3">
        <w:rPr>
          <w:sz w:val="22"/>
          <w:szCs w:val="22"/>
        </w:rPr>
        <w:t>May 27, 201</w:t>
      </w:r>
      <w:r w:rsidR="001D464E">
        <w:rPr>
          <w:sz w:val="22"/>
          <w:szCs w:val="22"/>
        </w:rPr>
        <w:t>5</w:t>
      </w:r>
    </w:p>
    <w:p w:rsidR="00FE797C" w:rsidRPr="005347A3" w:rsidRDefault="00FE797C" w:rsidP="00FE797C">
      <w:pPr>
        <w:pStyle w:val="ListParagraph"/>
        <w:ind w:left="-207" w:right="-574"/>
        <w:jc w:val="center"/>
        <w:rPr>
          <w:b/>
          <w:sz w:val="22"/>
          <w:szCs w:val="22"/>
        </w:rPr>
      </w:pPr>
      <w:r w:rsidRPr="005347A3">
        <w:rPr>
          <w:b/>
          <w:sz w:val="22"/>
          <w:szCs w:val="22"/>
        </w:rPr>
        <w:t>Repo</w:t>
      </w:r>
      <w:r w:rsidR="00184AC4" w:rsidRPr="005347A3">
        <w:rPr>
          <w:b/>
          <w:sz w:val="22"/>
          <w:szCs w:val="22"/>
        </w:rPr>
        <w:t>rt of the Pension &amp; Benefits Liaison</w:t>
      </w:r>
      <w:r w:rsidRPr="005347A3">
        <w:rPr>
          <w:b/>
          <w:sz w:val="22"/>
          <w:szCs w:val="22"/>
        </w:rPr>
        <w:t xml:space="preserve"> Member of the Board</w:t>
      </w:r>
      <w:r w:rsidR="003D2075" w:rsidRPr="005347A3">
        <w:rPr>
          <w:b/>
          <w:sz w:val="22"/>
          <w:szCs w:val="22"/>
        </w:rPr>
        <w:t xml:space="preserve"> of Directors</w:t>
      </w:r>
    </w:p>
    <w:p w:rsidR="00FE797C" w:rsidRPr="005347A3" w:rsidRDefault="00FE797C" w:rsidP="00FE797C">
      <w:pPr>
        <w:pStyle w:val="ListParagraph"/>
        <w:ind w:left="-207" w:right="-574"/>
        <w:jc w:val="center"/>
        <w:rPr>
          <w:sz w:val="22"/>
          <w:szCs w:val="22"/>
        </w:rPr>
      </w:pPr>
    </w:p>
    <w:p w:rsidR="008479CE" w:rsidRPr="005347A3" w:rsidRDefault="008479CE" w:rsidP="008479CE">
      <w:pPr>
        <w:pStyle w:val="ListParagraph"/>
        <w:ind w:left="-207" w:right="-574"/>
        <w:rPr>
          <w:b/>
          <w:sz w:val="22"/>
          <w:szCs w:val="22"/>
        </w:rPr>
      </w:pPr>
      <w:r w:rsidRPr="005347A3">
        <w:rPr>
          <w:b/>
          <w:sz w:val="22"/>
          <w:szCs w:val="22"/>
        </w:rPr>
        <w:t xml:space="preserve">1.  The State of the </w:t>
      </w:r>
      <w:r w:rsidR="00F667BB">
        <w:rPr>
          <w:b/>
          <w:sz w:val="22"/>
          <w:szCs w:val="22"/>
        </w:rPr>
        <w:t>UW Pension F</w:t>
      </w:r>
      <w:r w:rsidRPr="005347A3">
        <w:rPr>
          <w:b/>
          <w:sz w:val="22"/>
          <w:szCs w:val="22"/>
        </w:rPr>
        <w:t>unds as of January 1, 2015</w:t>
      </w:r>
    </w:p>
    <w:p w:rsidR="00E20069" w:rsidRPr="005347A3" w:rsidRDefault="00736164" w:rsidP="00E20069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The University’s retiree pension benefits are paid out of two </w:t>
      </w:r>
      <w:r w:rsidR="002D653F" w:rsidRPr="005347A3">
        <w:rPr>
          <w:sz w:val="22"/>
          <w:szCs w:val="22"/>
        </w:rPr>
        <w:t>funds</w:t>
      </w:r>
      <w:r w:rsidR="00C52363">
        <w:rPr>
          <w:sz w:val="22"/>
          <w:szCs w:val="22"/>
        </w:rPr>
        <w:t>:</w:t>
      </w:r>
      <w:r w:rsidR="00E20069" w:rsidRPr="005347A3">
        <w:rPr>
          <w:sz w:val="22"/>
          <w:szCs w:val="22"/>
        </w:rPr>
        <w:t xml:space="preserve"> </w:t>
      </w:r>
      <w:r w:rsidR="00C52363">
        <w:rPr>
          <w:sz w:val="22"/>
          <w:szCs w:val="22"/>
        </w:rPr>
        <w:t>t</w:t>
      </w:r>
      <w:r w:rsidR="00197BA2" w:rsidRPr="005347A3">
        <w:rPr>
          <w:sz w:val="22"/>
          <w:szCs w:val="22"/>
        </w:rPr>
        <w:t xml:space="preserve">he Registered Pension Plan (RPP) </w:t>
      </w:r>
      <w:r w:rsidR="00E20069" w:rsidRPr="005347A3">
        <w:rPr>
          <w:sz w:val="22"/>
          <w:szCs w:val="22"/>
        </w:rPr>
        <w:t xml:space="preserve">and </w:t>
      </w:r>
      <w:r w:rsidR="00197BA2" w:rsidRPr="005347A3">
        <w:rPr>
          <w:sz w:val="22"/>
          <w:szCs w:val="22"/>
        </w:rPr>
        <w:t>the Payroll Pension Plan (</w:t>
      </w:r>
      <w:r w:rsidR="00E20069" w:rsidRPr="005347A3">
        <w:rPr>
          <w:sz w:val="22"/>
          <w:szCs w:val="22"/>
        </w:rPr>
        <w:t>PPP</w:t>
      </w:r>
      <w:r w:rsidR="00197BA2" w:rsidRPr="005347A3">
        <w:rPr>
          <w:sz w:val="22"/>
          <w:szCs w:val="22"/>
        </w:rPr>
        <w:t>)</w:t>
      </w:r>
      <w:r w:rsidR="00E20069" w:rsidRPr="005347A3">
        <w:rPr>
          <w:sz w:val="22"/>
          <w:szCs w:val="22"/>
        </w:rPr>
        <w:t xml:space="preserve">. Each is subject to a hard limit on maximum pension payable per year of service. In addition, RPP is subject to </w:t>
      </w:r>
      <w:r w:rsidR="00197BA2" w:rsidRPr="005347A3">
        <w:rPr>
          <w:sz w:val="22"/>
          <w:szCs w:val="22"/>
        </w:rPr>
        <w:t xml:space="preserve">yet another limit </w:t>
      </w:r>
      <w:r w:rsidR="00E20069" w:rsidRPr="005347A3">
        <w:rPr>
          <w:sz w:val="22"/>
          <w:szCs w:val="22"/>
        </w:rPr>
        <w:t xml:space="preserve">specified by </w:t>
      </w:r>
      <w:r w:rsidR="00700A03" w:rsidRPr="005347A3">
        <w:rPr>
          <w:sz w:val="22"/>
          <w:szCs w:val="22"/>
        </w:rPr>
        <w:t xml:space="preserve">the </w:t>
      </w:r>
      <w:r w:rsidR="00E20069" w:rsidRPr="005347A3">
        <w:rPr>
          <w:sz w:val="22"/>
          <w:szCs w:val="22"/>
        </w:rPr>
        <w:t>I</w:t>
      </w:r>
      <w:r w:rsidR="00197BA2" w:rsidRPr="005347A3">
        <w:rPr>
          <w:sz w:val="22"/>
          <w:szCs w:val="22"/>
        </w:rPr>
        <w:t xml:space="preserve">ncome </w:t>
      </w:r>
      <w:r w:rsidR="00E20069" w:rsidRPr="005347A3">
        <w:rPr>
          <w:sz w:val="22"/>
          <w:szCs w:val="22"/>
        </w:rPr>
        <w:t>T</w:t>
      </w:r>
      <w:r w:rsidR="00197BA2" w:rsidRPr="005347A3">
        <w:rPr>
          <w:sz w:val="22"/>
          <w:szCs w:val="22"/>
        </w:rPr>
        <w:t xml:space="preserve">ax </w:t>
      </w:r>
      <w:r w:rsidR="00E20069" w:rsidRPr="005347A3">
        <w:rPr>
          <w:sz w:val="22"/>
          <w:szCs w:val="22"/>
        </w:rPr>
        <w:t>A</w:t>
      </w:r>
      <w:r w:rsidR="00197BA2" w:rsidRPr="005347A3">
        <w:rPr>
          <w:sz w:val="22"/>
          <w:szCs w:val="22"/>
        </w:rPr>
        <w:t>ct</w:t>
      </w:r>
      <w:r w:rsidR="00E20069" w:rsidRPr="005347A3">
        <w:rPr>
          <w:sz w:val="22"/>
          <w:szCs w:val="22"/>
        </w:rPr>
        <w:t xml:space="preserve">, which is indexed annually by </w:t>
      </w:r>
      <w:r w:rsidR="00197BA2" w:rsidRPr="005347A3">
        <w:rPr>
          <w:sz w:val="22"/>
          <w:szCs w:val="22"/>
        </w:rPr>
        <w:t xml:space="preserve">the </w:t>
      </w:r>
      <w:r w:rsidR="00E20069" w:rsidRPr="005347A3">
        <w:rPr>
          <w:sz w:val="22"/>
          <w:szCs w:val="22"/>
        </w:rPr>
        <w:t xml:space="preserve">increase in the average industrial wage. </w:t>
      </w:r>
      <w:r w:rsidR="002D653F" w:rsidRPr="005347A3">
        <w:rPr>
          <w:sz w:val="22"/>
          <w:szCs w:val="22"/>
        </w:rPr>
        <w:t>Pension benefits earned prior to January 1, 2014 are fully protected against inflation rate</w:t>
      </w:r>
      <w:r w:rsidR="00197BA2" w:rsidRPr="005347A3">
        <w:rPr>
          <w:sz w:val="22"/>
          <w:szCs w:val="22"/>
        </w:rPr>
        <w:t>s</w:t>
      </w:r>
      <w:r w:rsidR="002D653F" w:rsidRPr="005347A3">
        <w:rPr>
          <w:sz w:val="22"/>
          <w:szCs w:val="22"/>
        </w:rPr>
        <w:t xml:space="preserve"> of 5% or less, while those earned after January 2014 </w:t>
      </w:r>
      <w:r w:rsidR="008479CE" w:rsidRPr="005347A3">
        <w:rPr>
          <w:sz w:val="22"/>
          <w:szCs w:val="22"/>
        </w:rPr>
        <w:t>are guaranteed indexation of only 75%</w:t>
      </w:r>
      <w:r w:rsidR="00933AE7">
        <w:rPr>
          <w:sz w:val="22"/>
          <w:szCs w:val="22"/>
        </w:rPr>
        <w:t xml:space="preserve"> for the same rates</w:t>
      </w:r>
      <w:r w:rsidR="00C52363">
        <w:rPr>
          <w:sz w:val="22"/>
          <w:szCs w:val="22"/>
        </w:rPr>
        <w:t>.</w:t>
      </w:r>
    </w:p>
    <w:p w:rsidR="008479CE" w:rsidRPr="005347A3" w:rsidRDefault="008479CE" w:rsidP="00E20069">
      <w:pPr>
        <w:pStyle w:val="ListParagraph"/>
        <w:ind w:left="-207" w:right="-574"/>
        <w:rPr>
          <w:sz w:val="22"/>
          <w:szCs w:val="22"/>
        </w:rPr>
      </w:pPr>
    </w:p>
    <w:p w:rsidR="008479CE" w:rsidRPr="005347A3" w:rsidRDefault="00197BA2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The state of the funds is reflected in their actuarial </w:t>
      </w:r>
      <w:r w:rsidR="00AA30F3">
        <w:rPr>
          <w:sz w:val="22"/>
          <w:szCs w:val="22"/>
        </w:rPr>
        <w:t>valuations.  By necessity such</w:t>
      </w:r>
      <w:r w:rsidRPr="005347A3">
        <w:rPr>
          <w:sz w:val="22"/>
          <w:szCs w:val="22"/>
        </w:rPr>
        <w:t xml:space="preserve"> valuation</w:t>
      </w:r>
      <w:r w:rsidR="00AA30F3">
        <w:rPr>
          <w:sz w:val="22"/>
          <w:szCs w:val="22"/>
        </w:rPr>
        <w:t>s</w:t>
      </w:r>
      <w:r w:rsidR="008479CE" w:rsidRPr="005347A3">
        <w:rPr>
          <w:sz w:val="22"/>
          <w:szCs w:val="22"/>
        </w:rPr>
        <w:t xml:space="preserve"> </w:t>
      </w:r>
      <w:r w:rsidR="00AA30F3">
        <w:rPr>
          <w:sz w:val="22"/>
          <w:szCs w:val="22"/>
        </w:rPr>
        <w:t>are</w:t>
      </w:r>
      <w:r w:rsidR="008479CE" w:rsidRPr="005347A3">
        <w:rPr>
          <w:sz w:val="22"/>
          <w:szCs w:val="22"/>
        </w:rPr>
        <w:t xml:space="preserve"> based on a number of demographic and economic assumptions that combine actual experience </w:t>
      </w:r>
      <w:r w:rsidRPr="005347A3">
        <w:rPr>
          <w:sz w:val="22"/>
          <w:szCs w:val="22"/>
        </w:rPr>
        <w:t>with</w:t>
      </w:r>
      <w:r w:rsidR="008479CE" w:rsidRPr="005347A3">
        <w:rPr>
          <w:sz w:val="22"/>
          <w:szCs w:val="22"/>
        </w:rPr>
        <w:t xml:space="preserve"> future expectations. Among these, the rate of return</w:t>
      </w:r>
      <w:r w:rsidR="00933AE7">
        <w:rPr>
          <w:sz w:val="22"/>
          <w:szCs w:val="22"/>
        </w:rPr>
        <w:t xml:space="preserve"> on pension assets</w:t>
      </w:r>
      <w:r w:rsidRPr="005347A3">
        <w:rPr>
          <w:sz w:val="22"/>
          <w:szCs w:val="22"/>
        </w:rPr>
        <w:t>,</w:t>
      </w:r>
      <w:r w:rsidR="008479CE" w:rsidRPr="005347A3">
        <w:rPr>
          <w:sz w:val="22"/>
          <w:szCs w:val="22"/>
        </w:rPr>
        <w:t xml:space="preserve"> the rate of inflation and the interest rate are perhaps the most crucial. </w:t>
      </w: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>The actuarial valuations may be carried out on several bases, each providing a different perspective: Going Concern, Solvency, and Wind Up. The Going Concern basis is mandatory for filing purposes in Ontario.</w:t>
      </w: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  <w:u w:val="single"/>
        </w:rPr>
      </w:pPr>
      <w:r w:rsidRPr="005347A3">
        <w:rPr>
          <w:sz w:val="22"/>
          <w:szCs w:val="22"/>
          <w:u w:val="single"/>
        </w:rPr>
        <w:t xml:space="preserve">(i) RPP Going Concern </w:t>
      </w: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The rate of return for calendar 2014 was 9.43%, generating assets of  $ 1.316 b at market value as of January 1, 2015. </w:t>
      </w:r>
      <w:r w:rsidR="00933AE7">
        <w:rPr>
          <w:sz w:val="22"/>
          <w:szCs w:val="22"/>
        </w:rPr>
        <w:t>T</w:t>
      </w:r>
      <w:r w:rsidR="00F667BB">
        <w:rPr>
          <w:sz w:val="22"/>
          <w:szCs w:val="22"/>
        </w:rPr>
        <w:t xml:space="preserve">he asset mix </w:t>
      </w:r>
      <w:r w:rsidR="00933AE7">
        <w:rPr>
          <w:sz w:val="22"/>
          <w:szCs w:val="22"/>
        </w:rPr>
        <w:t xml:space="preserve">on December 31, 2014 </w:t>
      </w:r>
      <w:r w:rsidR="00F667BB">
        <w:rPr>
          <w:sz w:val="22"/>
          <w:szCs w:val="22"/>
        </w:rPr>
        <w:t xml:space="preserve">was: Cash (11%), Fixed Income (45%), Equity (35%) and Alternatives (8%). </w:t>
      </w:r>
      <w:r w:rsidRPr="005347A3">
        <w:rPr>
          <w:sz w:val="22"/>
          <w:szCs w:val="22"/>
        </w:rPr>
        <w:t>Out of this fund, a sum of $44 m is being kept as a reserve for recognition in future</w:t>
      </w:r>
      <w:r w:rsidR="00511D04" w:rsidRPr="005347A3">
        <w:rPr>
          <w:sz w:val="22"/>
          <w:szCs w:val="22"/>
        </w:rPr>
        <w:t xml:space="preserve"> years</w:t>
      </w:r>
      <w:r w:rsidRPr="005347A3">
        <w:rPr>
          <w:sz w:val="22"/>
          <w:szCs w:val="22"/>
        </w:rPr>
        <w:t xml:space="preserve">, implying the actuarial value of assets as of January 1, 2015 at $ 1.272 b. The funding reserve is </w:t>
      </w:r>
      <w:r w:rsidR="00511D04" w:rsidRPr="005347A3">
        <w:rPr>
          <w:sz w:val="22"/>
          <w:szCs w:val="22"/>
        </w:rPr>
        <w:t xml:space="preserve">nearly </w:t>
      </w:r>
      <w:r w:rsidRPr="005347A3">
        <w:rPr>
          <w:sz w:val="22"/>
          <w:szCs w:val="22"/>
        </w:rPr>
        <w:t>equal to the capital gains realized from the sale of real return bonds</w:t>
      </w:r>
      <w:r w:rsidR="00C84C0C" w:rsidRPr="005347A3">
        <w:rPr>
          <w:sz w:val="22"/>
          <w:szCs w:val="22"/>
        </w:rPr>
        <w:t xml:space="preserve"> held in the fund.</w:t>
      </w:r>
      <w:r w:rsidR="00511D04" w:rsidRPr="005347A3">
        <w:rPr>
          <w:sz w:val="22"/>
          <w:szCs w:val="22"/>
        </w:rPr>
        <w:t xml:space="preserve"> </w:t>
      </w:r>
      <w:r w:rsidRPr="005347A3">
        <w:rPr>
          <w:sz w:val="22"/>
          <w:szCs w:val="22"/>
        </w:rPr>
        <w:t>The annual rate of inflation, as det</w:t>
      </w:r>
      <w:r w:rsidR="00511D04" w:rsidRPr="005347A3">
        <w:rPr>
          <w:sz w:val="22"/>
          <w:szCs w:val="22"/>
        </w:rPr>
        <w:t>ermined by CPI, was set at 2.0%</w:t>
      </w:r>
      <w:r w:rsidR="00631C82" w:rsidRPr="005347A3">
        <w:rPr>
          <w:sz w:val="22"/>
          <w:szCs w:val="22"/>
        </w:rPr>
        <w:t>;</w:t>
      </w:r>
      <w:r w:rsidRPr="005347A3">
        <w:rPr>
          <w:sz w:val="22"/>
          <w:szCs w:val="22"/>
        </w:rPr>
        <w:t xml:space="preserve"> implying increase in YMPE</w:t>
      </w:r>
      <w:r w:rsidR="00AA30F3">
        <w:rPr>
          <w:sz w:val="22"/>
          <w:szCs w:val="22"/>
        </w:rPr>
        <w:t xml:space="preserve"> (Yearly Maximum Pen</w:t>
      </w:r>
      <w:r w:rsidR="00C703DE">
        <w:rPr>
          <w:sz w:val="22"/>
          <w:szCs w:val="22"/>
        </w:rPr>
        <w:t>sionable Earnings under Canada P</w:t>
      </w:r>
      <w:r w:rsidR="00AA30F3">
        <w:rPr>
          <w:sz w:val="22"/>
          <w:szCs w:val="22"/>
        </w:rPr>
        <w:t>ension Plan)</w:t>
      </w:r>
      <w:r w:rsidRPr="005347A3">
        <w:rPr>
          <w:sz w:val="22"/>
          <w:szCs w:val="22"/>
        </w:rPr>
        <w:t xml:space="preserve"> of 2.75%, increase in </w:t>
      </w:r>
      <w:r w:rsidR="00C703DE">
        <w:rPr>
          <w:sz w:val="22"/>
          <w:szCs w:val="22"/>
        </w:rPr>
        <w:t xml:space="preserve">employee </w:t>
      </w:r>
      <w:r w:rsidRPr="005347A3">
        <w:rPr>
          <w:sz w:val="22"/>
          <w:szCs w:val="22"/>
        </w:rPr>
        <w:t xml:space="preserve">salaries of 4.0% and the liabilities discount rate of 5.75%. With most other variables unchanged from </w:t>
      </w:r>
      <w:r w:rsidR="00511D04" w:rsidRPr="005347A3">
        <w:rPr>
          <w:sz w:val="22"/>
          <w:szCs w:val="22"/>
        </w:rPr>
        <w:t xml:space="preserve">the </w:t>
      </w:r>
      <w:r w:rsidRPr="005347A3">
        <w:rPr>
          <w:sz w:val="22"/>
          <w:szCs w:val="22"/>
        </w:rPr>
        <w:t>previous valuation, total liabilities amounted to $ 1.384 b, leaving unfunded liability or deficit of $ 112 m compared to $ 149 m last year. However, if the funding reserve is taken into account the unfunded liability or deficit declines to $ 68 m on market value basis.</w:t>
      </w: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The implicit university current service cost of the RPP increased to 7.92% of members’ pensionable </w:t>
      </w:r>
      <w:r w:rsidR="00FB021D">
        <w:rPr>
          <w:sz w:val="22"/>
          <w:szCs w:val="22"/>
        </w:rPr>
        <w:t>e</w:t>
      </w:r>
      <w:r w:rsidRPr="005347A3">
        <w:rPr>
          <w:sz w:val="22"/>
          <w:szCs w:val="22"/>
        </w:rPr>
        <w:t>arnings</w:t>
      </w:r>
      <w:r w:rsidR="00C703DE">
        <w:rPr>
          <w:sz w:val="22"/>
          <w:szCs w:val="22"/>
        </w:rPr>
        <w:t>,</w:t>
      </w:r>
      <w:r w:rsidRPr="005347A3">
        <w:rPr>
          <w:sz w:val="22"/>
          <w:szCs w:val="22"/>
        </w:rPr>
        <w:t xml:space="preserve"> </w:t>
      </w:r>
      <w:r w:rsidR="00C703DE">
        <w:rPr>
          <w:sz w:val="22"/>
          <w:szCs w:val="22"/>
        </w:rPr>
        <w:t xml:space="preserve">or </w:t>
      </w:r>
      <w:r w:rsidR="00FB021D">
        <w:rPr>
          <w:sz w:val="22"/>
          <w:szCs w:val="22"/>
        </w:rPr>
        <w:t xml:space="preserve">to </w:t>
      </w:r>
      <w:r w:rsidRPr="005347A3">
        <w:rPr>
          <w:sz w:val="22"/>
          <w:szCs w:val="22"/>
        </w:rPr>
        <w:t>107.8% of members’ required contributions.</w:t>
      </w:r>
    </w:p>
    <w:p w:rsidR="00511D04" w:rsidRPr="005347A3" w:rsidRDefault="00511D04" w:rsidP="008479CE">
      <w:pPr>
        <w:pStyle w:val="ListParagraph"/>
        <w:ind w:left="-207" w:right="-574"/>
        <w:rPr>
          <w:sz w:val="22"/>
          <w:szCs w:val="22"/>
          <w:u w:val="single"/>
        </w:rPr>
      </w:pPr>
    </w:p>
    <w:p w:rsidR="00511D04" w:rsidRPr="005347A3" w:rsidRDefault="008479CE" w:rsidP="008479CE">
      <w:pPr>
        <w:pStyle w:val="ListParagraph"/>
        <w:ind w:left="-207" w:right="-574"/>
        <w:rPr>
          <w:sz w:val="22"/>
          <w:szCs w:val="22"/>
          <w:u w:val="single"/>
        </w:rPr>
      </w:pPr>
      <w:r w:rsidRPr="005347A3">
        <w:rPr>
          <w:sz w:val="22"/>
          <w:szCs w:val="22"/>
          <w:u w:val="single"/>
        </w:rPr>
        <w:t>(ii) PPP Going Concern</w:t>
      </w:r>
      <w:r w:rsidR="00511D04" w:rsidRPr="005347A3">
        <w:rPr>
          <w:sz w:val="22"/>
          <w:szCs w:val="22"/>
          <w:u w:val="single"/>
        </w:rPr>
        <w:t xml:space="preserve"> </w:t>
      </w: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PPP is an internally managed </w:t>
      </w:r>
      <w:r w:rsidR="00C52363">
        <w:rPr>
          <w:sz w:val="22"/>
          <w:szCs w:val="22"/>
        </w:rPr>
        <w:t xml:space="preserve">fund </w:t>
      </w:r>
      <w:r w:rsidRPr="005347A3">
        <w:rPr>
          <w:sz w:val="22"/>
          <w:szCs w:val="22"/>
        </w:rPr>
        <w:t xml:space="preserve">and is not required to file. As of January 1, 2015, the </w:t>
      </w:r>
      <w:r w:rsidR="00C52363">
        <w:rPr>
          <w:sz w:val="22"/>
          <w:szCs w:val="22"/>
        </w:rPr>
        <w:t>fund</w:t>
      </w:r>
      <w:r w:rsidRPr="005347A3">
        <w:rPr>
          <w:sz w:val="22"/>
          <w:szCs w:val="22"/>
        </w:rPr>
        <w:t xml:space="preserve"> had a funding excess of $ 2.5 m, with market value of assets at $ 34.0 m and accrued liabilities of $ 31.5 m.</w:t>
      </w: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</w:p>
    <w:p w:rsidR="008479CE" w:rsidRPr="005347A3" w:rsidRDefault="008479CE" w:rsidP="00FB021D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The implicit university current service cost was 0.44% of </w:t>
      </w:r>
      <w:r w:rsidR="00C703DE">
        <w:rPr>
          <w:sz w:val="22"/>
          <w:szCs w:val="22"/>
        </w:rPr>
        <w:t>pensionable earnings</w:t>
      </w:r>
      <w:r w:rsidR="00FB021D">
        <w:rPr>
          <w:sz w:val="22"/>
          <w:szCs w:val="22"/>
        </w:rPr>
        <w:t>. This implied combined university service cost of 8.36% of pensionable earnings.</w:t>
      </w:r>
    </w:p>
    <w:p w:rsidR="00511D04" w:rsidRPr="005347A3" w:rsidRDefault="00511D04" w:rsidP="008479CE">
      <w:pPr>
        <w:pStyle w:val="ListParagraph"/>
        <w:ind w:left="-207" w:right="-574"/>
        <w:rPr>
          <w:sz w:val="22"/>
          <w:szCs w:val="22"/>
        </w:rPr>
      </w:pPr>
    </w:p>
    <w:p w:rsidR="008479CE" w:rsidRPr="005347A3" w:rsidRDefault="00FB021D" w:rsidP="008479CE">
      <w:pPr>
        <w:pStyle w:val="ListParagraph"/>
        <w:ind w:left="-207" w:right="-574"/>
        <w:rPr>
          <w:sz w:val="22"/>
          <w:szCs w:val="22"/>
        </w:rPr>
      </w:pPr>
      <w:r>
        <w:rPr>
          <w:sz w:val="22"/>
          <w:szCs w:val="22"/>
        </w:rPr>
        <w:t xml:space="preserve">The university, however, would </w:t>
      </w:r>
      <w:r w:rsidR="008479CE" w:rsidRPr="005347A3">
        <w:rPr>
          <w:sz w:val="22"/>
          <w:szCs w:val="22"/>
        </w:rPr>
        <w:t>continue to contribute at the rate of 163% of the members’ contributions with all of the contributions going to the RPP.</w:t>
      </w: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</w:p>
    <w:p w:rsidR="008479CE" w:rsidRPr="005347A3" w:rsidRDefault="008479CE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  <w:u w:val="single"/>
        </w:rPr>
        <w:t xml:space="preserve">(iii) RPP Solvency and Wind Up </w:t>
      </w:r>
    </w:p>
    <w:p w:rsidR="00894437" w:rsidRDefault="008479CE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>Under these calculations liabilities increased to $ 1.521 b for solvency and $ 2.251 b for Wind Up, with unfunded liabilities rising to $ 205 m and $ 935 m respectively on marke</w:t>
      </w:r>
      <w:r w:rsidR="00894437">
        <w:rPr>
          <w:sz w:val="22"/>
          <w:szCs w:val="22"/>
        </w:rPr>
        <w:t xml:space="preserve">t value basis. Total assets of </w:t>
      </w:r>
    </w:p>
    <w:p w:rsidR="008479CE" w:rsidRDefault="008479CE" w:rsidP="008479CE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lastRenderedPageBreak/>
        <w:t xml:space="preserve">$1.316 </w:t>
      </w:r>
      <w:r w:rsidR="00894437">
        <w:rPr>
          <w:sz w:val="22"/>
          <w:szCs w:val="22"/>
        </w:rPr>
        <w:t>b</w:t>
      </w:r>
      <w:r w:rsidRPr="005347A3">
        <w:rPr>
          <w:sz w:val="22"/>
          <w:szCs w:val="22"/>
        </w:rPr>
        <w:t xml:space="preserve"> net of wind up expenses implied solvency and transfer ratios of 0.87 and 0.58, both slightly lower than at last filing.</w:t>
      </w:r>
    </w:p>
    <w:p w:rsidR="00F667BB" w:rsidRDefault="00F667BB" w:rsidP="008479CE">
      <w:pPr>
        <w:pStyle w:val="ListParagraph"/>
        <w:ind w:left="-207" w:right="-574"/>
        <w:rPr>
          <w:sz w:val="22"/>
          <w:szCs w:val="22"/>
        </w:rPr>
      </w:pPr>
    </w:p>
    <w:p w:rsidR="00E20069" w:rsidRDefault="00BE22D1" w:rsidP="00E20069">
      <w:pPr>
        <w:pStyle w:val="ListParagraph"/>
        <w:ind w:left="-207" w:right="-574"/>
        <w:rPr>
          <w:sz w:val="22"/>
          <w:szCs w:val="22"/>
        </w:rPr>
      </w:pPr>
      <w:r>
        <w:rPr>
          <w:sz w:val="22"/>
          <w:szCs w:val="22"/>
        </w:rPr>
        <w:t>(i</w:t>
      </w:r>
      <w:r w:rsidR="00631C82">
        <w:rPr>
          <w:sz w:val="22"/>
          <w:szCs w:val="22"/>
        </w:rPr>
        <w:t>v) The return rate</w:t>
      </w:r>
      <w:r w:rsidR="00C84C0C" w:rsidRPr="005347A3">
        <w:rPr>
          <w:sz w:val="22"/>
          <w:szCs w:val="22"/>
        </w:rPr>
        <w:t xml:space="preserve"> of 9.43</w:t>
      </w:r>
      <w:r>
        <w:rPr>
          <w:sz w:val="22"/>
          <w:szCs w:val="22"/>
        </w:rPr>
        <w:t>%</w:t>
      </w:r>
      <w:r w:rsidR="00F667BB">
        <w:rPr>
          <w:sz w:val="22"/>
          <w:szCs w:val="22"/>
        </w:rPr>
        <w:t xml:space="preserve"> is not something to sniff at</w:t>
      </w:r>
      <w:r w:rsidR="00C52363">
        <w:rPr>
          <w:sz w:val="22"/>
          <w:szCs w:val="22"/>
        </w:rPr>
        <w:t>.</w:t>
      </w:r>
      <w:r w:rsidR="00F667BB">
        <w:rPr>
          <w:sz w:val="22"/>
          <w:szCs w:val="22"/>
        </w:rPr>
        <w:t xml:space="preserve"> </w:t>
      </w:r>
      <w:r w:rsidR="00C52363">
        <w:rPr>
          <w:sz w:val="22"/>
          <w:szCs w:val="22"/>
        </w:rPr>
        <w:t>Yet</w:t>
      </w:r>
      <w:r w:rsidR="00F667BB">
        <w:rPr>
          <w:sz w:val="22"/>
          <w:szCs w:val="22"/>
        </w:rPr>
        <w:t>,</w:t>
      </w:r>
      <w:r w:rsidR="00F667BB" w:rsidRPr="00F667BB">
        <w:rPr>
          <w:sz w:val="22"/>
          <w:szCs w:val="22"/>
        </w:rPr>
        <w:t xml:space="preserve"> </w:t>
      </w:r>
      <w:r w:rsidR="00F667BB">
        <w:rPr>
          <w:sz w:val="22"/>
          <w:szCs w:val="22"/>
        </w:rPr>
        <w:t xml:space="preserve">in the light of recommended benchmarks and </w:t>
      </w:r>
      <w:r w:rsidR="00F667BB" w:rsidRPr="005347A3">
        <w:rPr>
          <w:sz w:val="22"/>
          <w:szCs w:val="22"/>
        </w:rPr>
        <w:t>the state of the market</w:t>
      </w:r>
      <w:r w:rsidR="00F667BB">
        <w:rPr>
          <w:sz w:val="22"/>
          <w:szCs w:val="22"/>
        </w:rPr>
        <w:t xml:space="preserve">, </w:t>
      </w:r>
      <w:r w:rsidR="00C84C0C" w:rsidRPr="005347A3">
        <w:rPr>
          <w:sz w:val="22"/>
          <w:szCs w:val="22"/>
        </w:rPr>
        <w:t xml:space="preserve">it </w:t>
      </w:r>
      <w:r w:rsidR="00A9507C">
        <w:rPr>
          <w:sz w:val="22"/>
          <w:szCs w:val="22"/>
        </w:rPr>
        <w:t>was</w:t>
      </w:r>
      <w:r w:rsidR="00C84C0C" w:rsidRPr="005347A3">
        <w:rPr>
          <w:sz w:val="22"/>
          <w:szCs w:val="22"/>
        </w:rPr>
        <w:t xml:space="preserve"> not </w:t>
      </w:r>
      <w:r w:rsidR="00C52363">
        <w:rPr>
          <w:sz w:val="22"/>
          <w:szCs w:val="22"/>
        </w:rPr>
        <w:t xml:space="preserve">very </w:t>
      </w:r>
      <w:r w:rsidR="00C84C0C" w:rsidRPr="005347A3">
        <w:rPr>
          <w:sz w:val="22"/>
          <w:szCs w:val="22"/>
        </w:rPr>
        <w:t>satisfactory</w:t>
      </w:r>
      <w:r w:rsidR="00F667BB">
        <w:rPr>
          <w:sz w:val="22"/>
          <w:szCs w:val="22"/>
        </w:rPr>
        <w:t xml:space="preserve"> either</w:t>
      </w:r>
      <w:r w:rsidR="00C84C0C" w:rsidRPr="005347A3">
        <w:rPr>
          <w:sz w:val="22"/>
          <w:szCs w:val="22"/>
        </w:rPr>
        <w:t xml:space="preserve">. Fund managers’ performance </w:t>
      </w:r>
      <w:r w:rsidR="00F667BB">
        <w:rPr>
          <w:sz w:val="22"/>
          <w:szCs w:val="22"/>
        </w:rPr>
        <w:t xml:space="preserve">and the overall investment strategy </w:t>
      </w:r>
      <w:r w:rsidR="00A9507C">
        <w:rPr>
          <w:sz w:val="22"/>
          <w:szCs w:val="22"/>
        </w:rPr>
        <w:t xml:space="preserve">have </w:t>
      </w:r>
      <w:r w:rsidR="00C84C0C" w:rsidRPr="005347A3">
        <w:rPr>
          <w:sz w:val="22"/>
          <w:szCs w:val="22"/>
        </w:rPr>
        <w:t>been constant source</w:t>
      </w:r>
      <w:r w:rsidR="00A9507C">
        <w:rPr>
          <w:sz w:val="22"/>
          <w:szCs w:val="22"/>
        </w:rPr>
        <w:t>s</w:t>
      </w:r>
      <w:r w:rsidR="00C84C0C" w:rsidRPr="005347A3">
        <w:rPr>
          <w:sz w:val="22"/>
          <w:szCs w:val="22"/>
        </w:rPr>
        <w:t xml:space="preserve"> of worry and discussion to the Registered Pension Plan Investment subcommittee (RPPI).</w:t>
      </w:r>
    </w:p>
    <w:p w:rsidR="00F422F0" w:rsidRDefault="00F422F0" w:rsidP="00E20069">
      <w:pPr>
        <w:pStyle w:val="ListParagraph"/>
        <w:ind w:left="-207" w:right="-574"/>
        <w:rPr>
          <w:sz w:val="22"/>
          <w:szCs w:val="22"/>
        </w:rPr>
      </w:pPr>
    </w:p>
    <w:p w:rsidR="00F422F0" w:rsidRDefault="00F422F0" w:rsidP="00F422F0">
      <w:pPr>
        <w:pStyle w:val="ListParagraph"/>
        <w:ind w:left="-207" w:right="-574"/>
        <w:rPr>
          <w:sz w:val="22"/>
          <w:szCs w:val="22"/>
        </w:rPr>
      </w:pPr>
      <w:r>
        <w:rPr>
          <w:sz w:val="22"/>
          <w:szCs w:val="22"/>
        </w:rPr>
        <w:t>For more details of the</w:t>
      </w:r>
      <w:r w:rsidR="00977C96">
        <w:rPr>
          <w:sz w:val="22"/>
          <w:szCs w:val="22"/>
        </w:rPr>
        <w:t>se</w:t>
      </w:r>
      <w:r>
        <w:rPr>
          <w:sz w:val="22"/>
          <w:szCs w:val="22"/>
        </w:rPr>
        <w:t xml:space="preserve"> valuation</w:t>
      </w:r>
      <w:r w:rsidR="00977C96">
        <w:rPr>
          <w:sz w:val="22"/>
          <w:szCs w:val="22"/>
        </w:rPr>
        <w:t>s</w:t>
      </w:r>
      <w:r>
        <w:rPr>
          <w:sz w:val="22"/>
          <w:szCs w:val="22"/>
        </w:rPr>
        <w:t xml:space="preserve">, check out: </w:t>
      </w:r>
    </w:p>
    <w:p w:rsidR="00F422F0" w:rsidRDefault="00EB6043" w:rsidP="00F422F0">
      <w:pPr>
        <w:pStyle w:val="ListParagraph"/>
        <w:ind w:left="-207" w:right="-574"/>
        <w:rPr>
          <w:sz w:val="22"/>
          <w:szCs w:val="22"/>
        </w:rPr>
      </w:pPr>
      <w:hyperlink r:id="rId5" w:history="1">
        <w:r w:rsidR="00F422F0" w:rsidRPr="006B3FD8">
          <w:rPr>
            <w:rStyle w:val="Hyperlink"/>
            <w:sz w:val="22"/>
            <w:szCs w:val="22"/>
          </w:rPr>
          <w:t>https://uwaterloo.ca/secretariat-general-counsel/committees-and-councils/pension-benefits-committee</w:t>
        </w:r>
      </w:hyperlink>
      <w:r w:rsidR="00F422F0">
        <w:rPr>
          <w:sz w:val="22"/>
          <w:szCs w:val="22"/>
        </w:rPr>
        <w:t xml:space="preserve"> </w:t>
      </w:r>
    </w:p>
    <w:p w:rsidR="00E20069" w:rsidRPr="005347A3" w:rsidRDefault="00E20069" w:rsidP="00E20069">
      <w:pPr>
        <w:pStyle w:val="ListParagraph"/>
        <w:ind w:left="-207" w:right="-574"/>
        <w:rPr>
          <w:sz w:val="22"/>
          <w:szCs w:val="22"/>
          <w:u w:val="single"/>
        </w:rPr>
      </w:pPr>
    </w:p>
    <w:p w:rsidR="00E20069" w:rsidRPr="005347A3" w:rsidRDefault="00B91B4B" w:rsidP="00E20069">
      <w:pPr>
        <w:pStyle w:val="ListParagraph"/>
        <w:ind w:left="-207" w:right="-574"/>
        <w:rPr>
          <w:b/>
          <w:sz w:val="22"/>
          <w:szCs w:val="22"/>
        </w:rPr>
      </w:pPr>
      <w:r w:rsidRPr="005347A3">
        <w:rPr>
          <w:b/>
          <w:sz w:val="22"/>
          <w:szCs w:val="22"/>
        </w:rPr>
        <w:t>2</w:t>
      </w:r>
      <w:r w:rsidR="00E20069" w:rsidRPr="005347A3">
        <w:rPr>
          <w:b/>
          <w:sz w:val="22"/>
          <w:szCs w:val="22"/>
        </w:rPr>
        <w:t xml:space="preserve">. Benefits </w:t>
      </w:r>
    </w:p>
    <w:p w:rsidR="00E20069" w:rsidRPr="005347A3" w:rsidRDefault="00D9593F" w:rsidP="00E20069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(i) </w:t>
      </w:r>
      <w:r w:rsidR="00700A03" w:rsidRPr="005347A3">
        <w:rPr>
          <w:sz w:val="22"/>
          <w:szCs w:val="22"/>
        </w:rPr>
        <w:t>The cost</w:t>
      </w:r>
      <w:r w:rsidR="005D11F9" w:rsidRPr="005347A3">
        <w:rPr>
          <w:sz w:val="22"/>
          <w:szCs w:val="22"/>
        </w:rPr>
        <w:t>s</w:t>
      </w:r>
      <w:r w:rsidR="00E20069" w:rsidRPr="005347A3">
        <w:rPr>
          <w:sz w:val="22"/>
          <w:szCs w:val="22"/>
        </w:rPr>
        <w:t xml:space="preserve"> of extended health-care benefits</w:t>
      </w:r>
      <w:r w:rsidR="00434707">
        <w:rPr>
          <w:sz w:val="22"/>
          <w:szCs w:val="22"/>
        </w:rPr>
        <w:t xml:space="preserve"> </w:t>
      </w:r>
      <w:r w:rsidR="00E20069" w:rsidRPr="005347A3">
        <w:rPr>
          <w:sz w:val="22"/>
          <w:szCs w:val="22"/>
        </w:rPr>
        <w:t>ha</w:t>
      </w:r>
      <w:r w:rsidR="005D11F9" w:rsidRPr="005347A3">
        <w:rPr>
          <w:sz w:val="22"/>
          <w:szCs w:val="22"/>
        </w:rPr>
        <w:t>ve</w:t>
      </w:r>
      <w:r w:rsidR="00E20069" w:rsidRPr="005347A3">
        <w:rPr>
          <w:sz w:val="22"/>
          <w:szCs w:val="22"/>
        </w:rPr>
        <w:t xml:space="preserve"> continued to increase steadily.  </w:t>
      </w:r>
      <w:r w:rsidR="00434707">
        <w:rPr>
          <w:sz w:val="22"/>
          <w:szCs w:val="22"/>
        </w:rPr>
        <w:t xml:space="preserve">At the last review, </w:t>
      </w:r>
      <w:r w:rsidR="00E20069" w:rsidRPr="005347A3">
        <w:rPr>
          <w:sz w:val="22"/>
          <w:szCs w:val="22"/>
        </w:rPr>
        <w:t xml:space="preserve">70% of these costs </w:t>
      </w:r>
      <w:r w:rsidR="00434707">
        <w:rPr>
          <w:sz w:val="22"/>
          <w:szCs w:val="22"/>
        </w:rPr>
        <w:t xml:space="preserve">were </w:t>
      </w:r>
      <w:r w:rsidR="00700A03" w:rsidRPr="005347A3">
        <w:rPr>
          <w:sz w:val="22"/>
          <w:szCs w:val="22"/>
        </w:rPr>
        <w:t>accounted for by</w:t>
      </w:r>
      <w:r w:rsidR="00E20069" w:rsidRPr="005347A3">
        <w:rPr>
          <w:sz w:val="22"/>
          <w:szCs w:val="22"/>
        </w:rPr>
        <w:t xml:space="preserve"> prescription drugs and the top 10 therapeutic classifications by amount paid </w:t>
      </w:r>
      <w:r w:rsidR="00434707">
        <w:rPr>
          <w:sz w:val="22"/>
          <w:szCs w:val="22"/>
        </w:rPr>
        <w:t xml:space="preserve">were responsible </w:t>
      </w:r>
      <w:r w:rsidR="00E20069" w:rsidRPr="005347A3">
        <w:rPr>
          <w:sz w:val="22"/>
          <w:szCs w:val="22"/>
        </w:rPr>
        <w:t xml:space="preserve">for 57% of the claims. While this </w:t>
      </w:r>
      <w:r w:rsidR="00434707">
        <w:rPr>
          <w:sz w:val="22"/>
          <w:szCs w:val="22"/>
        </w:rPr>
        <w:t>might</w:t>
      </w:r>
      <w:r w:rsidR="00E20069" w:rsidRPr="005347A3">
        <w:rPr>
          <w:sz w:val="22"/>
          <w:szCs w:val="22"/>
        </w:rPr>
        <w:t xml:space="preserve"> </w:t>
      </w:r>
      <w:r w:rsidR="00434707">
        <w:rPr>
          <w:sz w:val="22"/>
          <w:szCs w:val="22"/>
        </w:rPr>
        <w:t xml:space="preserve">raise </w:t>
      </w:r>
      <w:r w:rsidR="00E20069" w:rsidRPr="005347A3">
        <w:rPr>
          <w:sz w:val="22"/>
          <w:szCs w:val="22"/>
        </w:rPr>
        <w:t xml:space="preserve">issues of lifestyle choices, the experience </w:t>
      </w:r>
      <w:r w:rsidR="00434707">
        <w:rPr>
          <w:sz w:val="22"/>
          <w:szCs w:val="22"/>
        </w:rPr>
        <w:t>was</w:t>
      </w:r>
      <w:r w:rsidR="00E20069" w:rsidRPr="005347A3">
        <w:rPr>
          <w:sz w:val="22"/>
          <w:szCs w:val="22"/>
        </w:rPr>
        <w:t xml:space="preserve"> not different from that of other businesses.</w:t>
      </w:r>
    </w:p>
    <w:p w:rsidR="00E20069" w:rsidRPr="005347A3" w:rsidRDefault="00E20069" w:rsidP="00E20069">
      <w:pPr>
        <w:pStyle w:val="ListParagraph"/>
        <w:ind w:left="-207" w:right="-574"/>
        <w:rPr>
          <w:sz w:val="22"/>
          <w:szCs w:val="22"/>
        </w:rPr>
      </w:pPr>
    </w:p>
    <w:p w:rsidR="00D9593F" w:rsidRPr="005347A3" w:rsidRDefault="00D9593F" w:rsidP="00D9593F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(ii) </w:t>
      </w:r>
      <w:r w:rsidR="009E2BD4" w:rsidRPr="005347A3">
        <w:rPr>
          <w:sz w:val="22"/>
          <w:szCs w:val="22"/>
        </w:rPr>
        <w:t xml:space="preserve">At its September </w:t>
      </w:r>
      <w:r w:rsidR="0069242F" w:rsidRPr="005347A3">
        <w:rPr>
          <w:sz w:val="22"/>
          <w:szCs w:val="22"/>
        </w:rPr>
        <w:t xml:space="preserve">19, 2014 </w:t>
      </w:r>
      <w:r w:rsidR="009E2BD4" w:rsidRPr="005347A3">
        <w:rPr>
          <w:sz w:val="22"/>
          <w:szCs w:val="22"/>
        </w:rPr>
        <w:t>meeting, the C</w:t>
      </w:r>
      <w:r w:rsidR="00E20069" w:rsidRPr="005347A3">
        <w:rPr>
          <w:sz w:val="22"/>
          <w:szCs w:val="22"/>
        </w:rPr>
        <w:t>ommittee passed a motion on eliminating the extended health lifetime maxim</w:t>
      </w:r>
      <w:r w:rsidR="009E2BD4" w:rsidRPr="005347A3">
        <w:rPr>
          <w:sz w:val="22"/>
          <w:szCs w:val="22"/>
        </w:rPr>
        <w:t>a</w:t>
      </w:r>
      <w:r w:rsidR="00E20069" w:rsidRPr="005347A3">
        <w:rPr>
          <w:sz w:val="22"/>
          <w:szCs w:val="22"/>
        </w:rPr>
        <w:t xml:space="preserve"> for pensioners residing outside Ontario. These maxim</w:t>
      </w:r>
      <w:r w:rsidR="009E2BD4" w:rsidRPr="005347A3">
        <w:rPr>
          <w:sz w:val="22"/>
          <w:szCs w:val="22"/>
        </w:rPr>
        <w:t>a</w:t>
      </w:r>
      <w:r w:rsidR="00E20069" w:rsidRPr="005347A3">
        <w:rPr>
          <w:sz w:val="22"/>
          <w:szCs w:val="22"/>
        </w:rPr>
        <w:t xml:space="preserve"> for the three categories of retirees were: $30,000 inside and outside Ontario for </w:t>
      </w:r>
      <w:r w:rsidR="00933AE7">
        <w:rPr>
          <w:sz w:val="22"/>
          <w:szCs w:val="22"/>
        </w:rPr>
        <w:t xml:space="preserve">those </w:t>
      </w:r>
      <w:r w:rsidR="00E20069" w:rsidRPr="005347A3">
        <w:rPr>
          <w:sz w:val="22"/>
          <w:szCs w:val="22"/>
        </w:rPr>
        <w:t>retired before January 1, 1996; $50,000 inside and $40,000 outside Ontario for retired January 1,1996 to June 6, 2000; and $80,000 inside and $40,000 outside Ontario for retired after June 6, 2000. An important motivation for the motion was to protect the interests of a small, but increasing, number of university employees who might spend their entire working life outside Ontario.</w:t>
      </w:r>
    </w:p>
    <w:p w:rsidR="00D9593F" w:rsidRPr="005347A3" w:rsidRDefault="00D9593F" w:rsidP="00D9593F">
      <w:pPr>
        <w:pStyle w:val="ListParagraph"/>
        <w:ind w:left="-207" w:right="-574"/>
        <w:rPr>
          <w:sz w:val="22"/>
          <w:szCs w:val="22"/>
        </w:rPr>
      </w:pPr>
    </w:p>
    <w:p w:rsidR="00E43627" w:rsidRPr="005347A3" w:rsidRDefault="00D9593F" w:rsidP="00E43627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</w:rPr>
        <w:t xml:space="preserve">(iii) As we all have now been formally informed, the extended health plan benefit maxima for January1, 2015 were increased based on the past three year inflation. </w:t>
      </w:r>
      <w:r w:rsidR="005D11F9" w:rsidRPr="005347A3">
        <w:rPr>
          <w:sz w:val="22"/>
          <w:szCs w:val="22"/>
        </w:rPr>
        <w:t>This was the first adjustment in five years. D</w:t>
      </w:r>
      <w:r w:rsidRPr="005347A3">
        <w:rPr>
          <w:sz w:val="22"/>
          <w:szCs w:val="22"/>
        </w:rPr>
        <w:t>ental maxima were also enhanced at the same time to the 2013 dental fee guide in keeping with the existing two-year lag in fee guide plan design. The latter ch</w:t>
      </w:r>
      <w:r w:rsidR="00E43627" w:rsidRPr="005347A3">
        <w:rPr>
          <w:sz w:val="22"/>
          <w:szCs w:val="22"/>
        </w:rPr>
        <w:t>ange has no implications for us.</w:t>
      </w:r>
      <w:r w:rsidR="002D02CA">
        <w:rPr>
          <w:sz w:val="22"/>
          <w:szCs w:val="22"/>
        </w:rPr>
        <w:t xml:space="preserve"> </w:t>
      </w:r>
      <w:r w:rsidR="00434707">
        <w:rPr>
          <w:sz w:val="22"/>
          <w:szCs w:val="22"/>
        </w:rPr>
        <w:t xml:space="preserve"> For greater details, visit </w:t>
      </w:r>
      <w:hyperlink r:id="rId6" w:history="1">
        <w:r w:rsidR="002D02CA" w:rsidRPr="006B3FD8">
          <w:rPr>
            <w:rStyle w:val="Hyperlink"/>
            <w:sz w:val="22"/>
            <w:szCs w:val="22"/>
          </w:rPr>
          <w:t>https://uwaterloo.ca/human-resources/retirees</w:t>
        </w:r>
      </w:hyperlink>
      <w:r w:rsidR="002D02CA">
        <w:rPr>
          <w:sz w:val="22"/>
          <w:szCs w:val="22"/>
        </w:rPr>
        <w:t xml:space="preserve"> </w:t>
      </w:r>
    </w:p>
    <w:p w:rsidR="00E43627" w:rsidRPr="005347A3" w:rsidRDefault="00E43627" w:rsidP="00E43627">
      <w:pPr>
        <w:pStyle w:val="ListParagraph"/>
        <w:ind w:left="-207" w:right="-574"/>
        <w:rPr>
          <w:sz w:val="22"/>
          <w:szCs w:val="22"/>
        </w:rPr>
      </w:pPr>
    </w:p>
    <w:p w:rsidR="00E43627" w:rsidRPr="005347A3" w:rsidRDefault="00E43627" w:rsidP="00E43627">
      <w:pPr>
        <w:pStyle w:val="ListParagraph"/>
        <w:ind w:left="-207" w:right="-574"/>
        <w:rPr>
          <w:b/>
          <w:sz w:val="22"/>
          <w:szCs w:val="22"/>
        </w:rPr>
      </w:pPr>
      <w:r w:rsidRPr="005347A3">
        <w:rPr>
          <w:b/>
          <w:sz w:val="22"/>
          <w:szCs w:val="22"/>
        </w:rPr>
        <w:t>3.</w:t>
      </w:r>
      <w:r w:rsidR="006A39E1" w:rsidRPr="005347A3">
        <w:rPr>
          <w:b/>
          <w:sz w:val="22"/>
          <w:szCs w:val="22"/>
        </w:rPr>
        <w:t xml:space="preserve"> </w:t>
      </w:r>
      <w:r w:rsidR="00707B8B" w:rsidRPr="005347A3">
        <w:rPr>
          <w:b/>
          <w:sz w:val="22"/>
          <w:szCs w:val="22"/>
        </w:rPr>
        <w:t>Government Pension Plan Initiative</w:t>
      </w:r>
    </w:p>
    <w:p w:rsidR="00707B8B" w:rsidRDefault="006A39E1" w:rsidP="00977C96">
      <w:pPr>
        <w:ind w:left="-207" w:right="-574"/>
        <w:rPr>
          <w:sz w:val="22"/>
          <w:szCs w:val="22"/>
        </w:rPr>
      </w:pPr>
      <w:r w:rsidRPr="005347A3">
        <w:rPr>
          <w:sz w:val="22"/>
          <w:szCs w:val="22"/>
          <w:u w:val="single"/>
        </w:rPr>
        <w:t xml:space="preserve">(i) </w:t>
      </w:r>
      <w:r w:rsidR="00707B8B" w:rsidRPr="005347A3">
        <w:rPr>
          <w:sz w:val="22"/>
          <w:szCs w:val="22"/>
          <w:u w:val="single"/>
        </w:rPr>
        <w:t xml:space="preserve">Ontario </w:t>
      </w:r>
      <w:r w:rsidRPr="005347A3">
        <w:rPr>
          <w:sz w:val="22"/>
          <w:szCs w:val="22"/>
          <w:u w:val="single"/>
        </w:rPr>
        <w:t xml:space="preserve">Retirement </w:t>
      </w:r>
      <w:r w:rsidR="00707B8B" w:rsidRPr="005347A3">
        <w:rPr>
          <w:sz w:val="22"/>
          <w:szCs w:val="22"/>
          <w:u w:val="single"/>
        </w:rPr>
        <w:t>Pension Plan</w:t>
      </w:r>
      <w:r w:rsidR="00707B8B" w:rsidRPr="005347A3">
        <w:rPr>
          <w:sz w:val="22"/>
          <w:szCs w:val="22"/>
        </w:rPr>
        <w:t xml:space="preserve">: </w:t>
      </w:r>
      <w:r w:rsidRPr="005347A3">
        <w:rPr>
          <w:sz w:val="22"/>
          <w:szCs w:val="22"/>
        </w:rPr>
        <w:t xml:space="preserve">The government remains committed to implementing </w:t>
      </w:r>
      <w:r w:rsidR="002D02CA">
        <w:rPr>
          <w:sz w:val="22"/>
          <w:szCs w:val="22"/>
        </w:rPr>
        <w:t>its</w:t>
      </w:r>
      <w:r w:rsidRPr="005347A3">
        <w:rPr>
          <w:sz w:val="22"/>
          <w:szCs w:val="22"/>
        </w:rPr>
        <w:t xml:space="preserve"> plan by January 1, 2017. Under the current proposal in</w:t>
      </w:r>
      <w:r w:rsidR="005347A3" w:rsidRPr="005347A3">
        <w:rPr>
          <w:sz w:val="22"/>
          <w:szCs w:val="22"/>
        </w:rPr>
        <w:t>dividuals participating in compa</w:t>
      </w:r>
      <w:r w:rsidRPr="005347A3">
        <w:rPr>
          <w:sz w:val="22"/>
          <w:szCs w:val="22"/>
        </w:rPr>
        <w:t>rable workplace plans would not be required to join</w:t>
      </w:r>
      <w:r w:rsidR="00977C96">
        <w:rPr>
          <w:sz w:val="22"/>
          <w:szCs w:val="22"/>
        </w:rPr>
        <w:t>, though it is, by no means, the final word.</w:t>
      </w:r>
      <w:r w:rsidRPr="005347A3">
        <w:rPr>
          <w:sz w:val="22"/>
          <w:szCs w:val="22"/>
        </w:rPr>
        <w:t xml:space="preserve"> Discussions on design and implementation continue. </w:t>
      </w:r>
    </w:p>
    <w:p w:rsidR="002D02CA" w:rsidRPr="005347A3" w:rsidRDefault="002D02CA" w:rsidP="006A39E1">
      <w:pPr>
        <w:ind w:left="-207"/>
        <w:rPr>
          <w:sz w:val="22"/>
          <w:szCs w:val="22"/>
        </w:rPr>
      </w:pPr>
    </w:p>
    <w:p w:rsidR="00E20069" w:rsidRDefault="00707B8B" w:rsidP="00707B8B">
      <w:pPr>
        <w:pStyle w:val="ListParagraph"/>
        <w:ind w:left="-207" w:right="-574"/>
        <w:rPr>
          <w:sz w:val="22"/>
          <w:szCs w:val="22"/>
        </w:rPr>
      </w:pPr>
      <w:r w:rsidRPr="005347A3">
        <w:rPr>
          <w:sz w:val="22"/>
          <w:szCs w:val="22"/>
          <w:u w:val="single"/>
        </w:rPr>
        <w:t>The University Sector Joint Plan</w:t>
      </w:r>
      <w:r w:rsidRPr="005347A3">
        <w:rPr>
          <w:sz w:val="22"/>
          <w:szCs w:val="22"/>
        </w:rPr>
        <w:t xml:space="preserve">: The voluntary cooperative effort of OCUFA and the COU is now at the exploratory design stage. The approved Jointly Sponsored Pension Plan (JSPP) would be a DB plan and apply to future years of employment only. Three preliminary JSPP models are being discussed: the best of all currently available plans that </w:t>
      </w:r>
      <w:r w:rsidR="005F2C34">
        <w:rPr>
          <w:sz w:val="22"/>
          <w:szCs w:val="22"/>
        </w:rPr>
        <w:t>will</w:t>
      </w:r>
      <w:r w:rsidRPr="005347A3">
        <w:rPr>
          <w:sz w:val="22"/>
          <w:szCs w:val="22"/>
        </w:rPr>
        <w:t xml:space="preserve"> require a combined member and employer contribution of 26% of earnings, a plan with a combined contribution of 18%, and the CAAT plan. Administrative structures with equal representation </w:t>
      </w:r>
      <w:r w:rsidR="005347A3" w:rsidRPr="005347A3">
        <w:rPr>
          <w:sz w:val="22"/>
          <w:szCs w:val="22"/>
        </w:rPr>
        <w:t>f</w:t>
      </w:r>
      <w:r w:rsidRPr="005347A3">
        <w:rPr>
          <w:sz w:val="22"/>
          <w:szCs w:val="22"/>
        </w:rPr>
        <w:t xml:space="preserve">rom employer and employee groups and dispute resolution mechanisms are also under discussion. Retiree representation is not likely to come about. </w:t>
      </w:r>
    </w:p>
    <w:p w:rsidR="002D02CA" w:rsidRDefault="002D02CA" w:rsidP="00707B8B">
      <w:pPr>
        <w:pStyle w:val="ListParagraph"/>
        <w:ind w:left="-207" w:right="-574"/>
        <w:rPr>
          <w:sz w:val="22"/>
          <w:szCs w:val="22"/>
        </w:rPr>
      </w:pPr>
    </w:p>
    <w:p w:rsidR="00897DA6" w:rsidRDefault="002D02CA" w:rsidP="00707B8B">
      <w:pPr>
        <w:pStyle w:val="ListParagraph"/>
        <w:ind w:left="-207" w:right="-574"/>
        <w:rPr>
          <w:sz w:val="22"/>
          <w:szCs w:val="22"/>
        </w:rPr>
      </w:pPr>
      <w:r>
        <w:rPr>
          <w:sz w:val="22"/>
          <w:szCs w:val="22"/>
        </w:rPr>
        <w:t>Those interested in following the issue</w:t>
      </w:r>
      <w:r w:rsidR="005B4E22">
        <w:rPr>
          <w:sz w:val="22"/>
          <w:szCs w:val="22"/>
        </w:rPr>
        <w:t xml:space="preserve"> more closely may benefi</w:t>
      </w:r>
      <w:r w:rsidR="005F0D89">
        <w:rPr>
          <w:sz w:val="22"/>
          <w:szCs w:val="22"/>
        </w:rPr>
        <w:t xml:space="preserve">t by </w:t>
      </w:r>
      <w:r w:rsidR="005F2C34">
        <w:rPr>
          <w:sz w:val="22"/>
          <w:szCs w:val="22"/>
        </w:rPr>
        <w:t>exploring</w:t>
      </w:r>
      <w:r w:rsidR="005F0D89">
        <w:rPr>
          <w:sz w:val="22"/>
          <w:szCs w:val="22"/>
        </w:rPr>
        <w:t xml:space="preserve"> the OCUFA web</w:t>
      </w:r>
      <w:r w:rsidR="005B4E22">
        <w:rPr>
          <w:sz w:val="22"/>
          <w:szCs w:val="22"/>
        </w:rPr>
        <w:t>site</w:t>
      </w:r>
      <w:r w:rsidR="005F2C34">
        <w:rPr>
          <w:sz w:val="22"/>
          <w:szCs w:val="22"/>
        </w:rPr>
        <w:t xml:space="preserve"> on pensions: </w:t>
      </w:r>
      <w:hyperlink r:id="rId7" w:history="1">
        <w:r w:rsidR="005B4E22" w:rsidRPr="006B3FD8">
          <w:rPr>
            <w:rStyle w:val="Hyperlink"/>
            <w:sz w:val="22"/>
            <w:szCs w:val="22"/>
          </w:rPr>
          <w:t>http://www.ocufapensionreview.ca/</w:t>
        </w:r>
      </w:hyperlink>
    </w:p>
    <w:p w:rsidR="00270CBB" w:rsidRDefault="00270CBB" w:rsidP="00707B8B">
      <w:pPr>
        <w:pStyle w:val="ListParagraph"/>
        <w:ind w:left="-207" w:right="-574"/>
        <w:rPr>
          <w:sz w:val="22"/>
          <w:szCs w:val="22"/>
        </w:rPr>
      </w:pPr>
    </w:p>
    <w:p w:rsidR="00270CBB" w:rsidRDefault="00270CBB" w:rsidP="00707B8B">
      <w:pPr>
        <w:pStyle w:val="ListParagraph"/>
        <w:ind w:left="-207" w:right="-574"/>
        <w:rPr>
          <w:sz w:val="22"/>
          <w:szCs w:val="22"/>
        </w:rPr>
      </w:pPr>
    </w:p>
    <w:p w:rsidR="00707B8B" w:rsidRPr="005347A3" w:rsidRDefault="00270CBB" w:rsidP="00707B8B">
      <w:pPr>
        <w:pStyle w:val="ListParagraph"/>
        <w:ind w:left="-207" w:right="-574"/>
        <w:rPr>
          <w:sz w:val="22"/>
          <w:szCs w:val="22"/>
        </w:rPr>
      </w:pPr>
      <w:r>
        <w:rPr>
          <w:sz w:val="22"/>
          <w:szCs w:val="22"/>
        </w:rPr>
        <w:t>Ramesh Kumar</w:t>
      </w:r>
      <w:bookmarkStart w:id="0" w:name="_GoBack"/>
      <w:bookmarkEnd w:id="0"/>
    </w:p>
    <w:sectPr w:rsidR="00707B8B" w:rsidRPr="005347A3" w:rsidSect="00270CB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2A"/>
    <w:multiLevelType w:val="hybridMultilevel"/>
    <w:tmpl w:val="9B86056A"/>
    <w:lvl w:ilvl="0" w:tplc="7466F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3DF6"/>
    <w:multiLevelType w:val="hybridMultilevel"/>
    <w:tmpl w:val="EFF2B59E"/>
    <w:lvl w:ilvl="0" w:tplc="219E1F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17F2BED"/>
    <w:multiLevelType w:val="hybridMultilevel"/>
    <w:tmpl w:val="B9580354"/>
    <w:lvl w:ilvl="0" w:tplc="F49A7436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05952B5"/>
    <w:multiLevelType w:val="hybridMultilevel"/>
    <w:tmpl w:val="9B86056A"/>
    <w:lvl w:ilvl="0" w:tplc="7466F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A174A"/>
    <w:multiLevelType w:val="hybridMultilevel"/>
    <w:tmpl w:val="30847CC0"/>
    <w:lvl w:ilvl="0" w:tplc="E16C7C90">
      <w:start w:val="1"/>
      <w:numFmt w:val="lowerRoman"/>
      <w:lvlText w:val="(%1)"/>
      <w:lvlJc w:val="left"/>
      <w:pPr>
        <w:ind w:left="5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E20069"/>
    <w:rsid w:val="00184AC4"/>
    <w:rsid w:val="00197BA2"/>
    <w:rsid w:val="001D464E"/>
    <w:rsid w:val="001E1AC0"/>
    <w:rsid w:val="00270CBB"/>
    <w:rsid w:val="002D02CA"/>
    <w:rsid w:val="002D185E"/>
    <w:rsid w:val="002D653F"/>
    <w:rsid w:val="003D2075"/>
    <w:rsid w:val="00434707"/>
    <w:rsid w:val="004D6CD1"/>
    <w:rsid w:val="00511D04"/>
    <w:rsid w:val="005347A3"/>
    <w:rsid w:val="005B4E22"/>
    <w:rsid w:val="005D11F9"/>
    <w:rsid w:val="005F0D89"/>
    <w:rsid w:val="005F2C34"/>
    <w:rsid w:val="00631C82"/>
    <w:rsid w:val="0069242F"/>
    <w:rsid w:val="006A39E1"/>
    <w:rsid w:val="00700A03"/>
    <w:rsid w:val="00707B8B"/>
    <w:rsid w:val="00736164"/>
    <w:rsid w:val="008479CE"/>
    <w:rsid w:val="00855BEC"/>
    <w:rsid w:val="00894437"/>
    <w:rsid w:val="00897DA6"/>
    <w:rsid w:val="00933AE7"/>
    <w:rsid w:val="00977C96"/>
    <w:rsid w:val="009E2BD4"/>
    <w:rsid w:val="00A9507C"/>
    <w:rsid w:val="00AA30F3"/>
    <w:rsid w:val="00AC0870"/>
    <w:rsid w:val="00B91B4B"/>
    <w:rsid w:val="00BB5949"/>
    <w:rsid w:val="00BE22D1"/>
    <w:rsid w:val="00C52363"/>
    <w:rsid w:val="00C703DE"/>
    <w:rsid w:val="00C84C0C"/>
    <w:rsid w:val="00D9593F"/>
    <w:rsid w:val="00E20069"/>
    <w:rsid w:val="00E43627"/>
    <w:rsid w:val="00E80081"/>
    <w:rsid w:val="00EB0F3D"/>
    <w:rsid w:val="00EB6043"/>
    <w:rsid w:val="00F422F0"/>
    <w:rsid w:val="00F43147"/>
    <w:rsid w:val="00F667BB"/>
    <w:rsid w:val="00FB021D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2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2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E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ufapensionreview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aterloo.ca/human-resources/retirees" TargetMode="External"/><Relationship Id="rId5" Type="http://schemas.openxmlformats.org/officeDocument/2006/relationships/hyperlink" Target="https://uwaterloo.ca/secretariat-general-counsel/committees-and-councils/pension-benefits-committe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Kumar</dc:creator>
  <cp:keywords/>
  <dc:description/>
  <cp:lastModifiedBy>User</cp:lastModifiedBy>
  <cp:revision>2</cp:revision>
  <cp:lastPrinted>2015-05-21T20:59:00Z</cp:lastPrinted>
  <dcterms:created xsi:type="dcterms:W3CDTF">2015-07-26T22:37:00Z</dcterms:created>
  <dcterms:modified xsi:type="dcterms:W3CDTF">2015-07-26T22:37:00Z</dcterms:modified>
</cp:coreProperties>
</file>