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70559" w14:textId="77777777" w:rsidR="000F5E12" w:rsidRDefault="000F5E12" w:rsidP="000F5E12"/>
    <w:p w14:paraId="5C24EF90" w14:textId="77777777" w:rsidR="000F5E12" w:rsidRDefault="000F5E12" w:rsidP="000F5E12">
      <w:r>
        <w:t>School of Environment, Enterprise and Development</w:t>
      </w:r>
    </w:p>
    <w:p w14:paraId="1007450D" w14:textId="77777777" w:rsidR="000F5E12" w:rsidRDefault="000F5E12" w:rsidP="000F5E12">
      <w:r>
        <w:t>Faculty of Environment</w:t>
      </w:r>
    </w:p>
    <w:p w14:paraId="01F0C01E" w14:textId="77777777" w:rsidR="000F5E12" w:rsidRPr="00E91C85" w:rsidRDefault="000F5E12" w:rsidP="000F5E12">
      <w:pPr>
        <w:rPr>
          <w:u w:val="single"/>
        </w:rPr>
      </w:pPr>
      <w:r w:rsidRPr="00E91C85">
        <w:rPr>
          <w:u w:val="single"/>
        </w:rPr>
        <w:t>Universit</w:t>
      </w:r>
      <w:r>
        <w:rPr>
          <w:u w:val="single"/>
        </w:rPr>
        <w:t>y of Waterloo</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Winter 2020</w:t>
      </w:r>
    </w:p>
    <w:p w14:paraId="0C0701D0" w14:textId="77777777" w:rsidR="000F5E12" w:rsidRDefault="000F5E12" w:rsidP="000F5E12"/>
    <w:p w14:paraId="03DD43E9" w14:textId="77777777" w:rsidR="000F5E12" w:rsidRDefault="000F5E12" w:rsidP="000F5E12">
      <w:pPr>
        <w:jc w:val="center"/>
        <w:rPr>
          <w:b/>
          <w:sz w:val="32"/>
        </w:rPr>
      </w:pPr>
      <w:r>
        <w:rPr>
          <w:b/>
          <w:sz w:val="32"/>
        </w:rPr>
        <w:t>ECDEV 606 / PLAN 613 / GEOG 613</w:t>
      </w:r>
    </w:p>
    <w:p w14:paraId="5A8306B8" w14:textId="77777777" w:rsidR="000F5E12" w:rsidRDefault="000F5E12" w:rsidP="000F5E12">
      <w:pPr>
        <w:jc w:val="center"/>
        <w:rPr>
          <w:b/>
          <w:sz w:val="32"/>
        </w:rPr>
      </w:pPr>
      <w:r>
        <w:rPr>
          <w:b/>
          <w:sz w:val="32"/>
        </w:rPr>
        <w:t>Innovation and Economic Development in</w:t>
      </w:r>
    </w:p>
    <w:p w14:paraId="6FA59D8E" w14:textId="77777777" w:rsidR="000F5E12" w:rsidRPr="00160BCB" w:rsidRDefault="000F5E12" w:rsidP="000F5E12">
      <w:pPr>
        <w:jc w:val="center"/>
        <w:rPr>
          <w:b/>
          <w:sz w:val="32"/>
        </w:rPr>
      </w:pPr>
      <w:r>
        <w:rPr>
          <w:b/>
          <w:sz w:val="32"/>
        </w:rPr>
        <w:t>Cities and Regions</w:t>
      </w:r>
    </w:p>
    <w:p w14:paraId="3F9A4C4B" w14:textId="77777777" w:rsidR="000F5E12" w:rsidRDefault="000F5E12" w:rsidP="000F5E12">
      <w:pPr>
        <w:jc w:val="center"/>
        <w:rPr>
          <w:sz w:val="32"/>
        </w:rPr>
      </w:pPr>
    </w:p>
    <w:p w14:paraId="1D6DAEE4" w14:textId="77777777" w:rsidR="000F5E12" w:rsidRDefault="000F5E12" w:rsidP="000F5E12">
      <w:pPr>
        <w:outlineLvl w:val="0"/>
      </w:pPr>
      <w:r w:rsidRPr="003A4D63">
        <w:rPr>
          <w:b/>
        </w:rPr>
        <w:t>Professor</w:t>
      </w:r>
      <w:r>
        <w:t>: Brock Dickinson</w:t>
      </w:r>
    </w:p>
    <w:p w14:paraId="13DB2BE9" w14:textId="77777777" w:rsidR="000F5E12" w:rsidRDefault="000F5E12" w:rsidP="000F5E12">
      <w:r w:rsidRPr="003A4D63">
        <w:rPr>
          <w:b/>
        </w:rPr>
        <w:t>Office</w:t>
      </w:r>
      <w:r>
        <w:t>: EV2 2004 and Evolv1 (WISE)</w:t>
      </w:r>
    </w:p>
    <w:p w14:paraId="5A303D45" w14:textId="77777777" w:rsidR="000F5E12" w:rsidRDefault="000F5E12" w:rsidP="000F5E12">
      <w:r w:rsidRPr="003A4D63">
        <w:rPr>
          <w:b/>
        </w:rPr>
        <w:t>Phone</w:t>
      </w:r>
      <w:r>
        <w:t>: (289) 407-7426</w:t>
      </w:r>
    </w:p>
    <w:p w14:paraId="07AB5FAE" w14:textId="77777777" w:rsidR="000F5E12" w:rsidRDefault="000F5E12" w:rsidP="000F5E12">
      <w:pPr>
        <w:outlineLvl w:val="0"/>
      </w:pPr>
      <w:r w:rsidRPr="003A4D63">
        <w:rPr>
          <w:b/>
        </w:rPr>
        <w:t>Email</w:t>
      </w:r>
      <w:r>
        <w:t xml:space="preserve">: </w:t>
      </w:r>
      <w:hyperlink r:id="rId8" w:history="1">
        <w:r w:rsidRPr="004C510E">
          <w:rPr>
            <w:rStyle w:val="Hyperlink"/>
          </w:rPr>
          <w:t>bdickinson@uwaterloo.ca</w:t>
        </w:r>
      </w:hyperlink>
      <w:r>
        <w:t xml:space="preserve"> </w:t>
      </w:r>
    </w:p>
    <w:p w14:paraId="548240FE" w14:textId="77777777" w:rsidR="000F5E12" w:rsidRDefault="000F5E12" w:rsidP="000F5E12">
      <w:pPr>
        <w:rPr>
          <w:b/>
        </w:rPr>
      </w:pPr>
    </w:p>
    <w:p w14:paraId="2404459D" w14:textId="77777777" w:rsidR="000F5E12" w:rsidRDefault="000F5E12" w:rsidP="000F5E12">
      <w:pPr>
        <w:outlineLvl w:val="0"/>
      </w:pPr>
      <w:r w:rsidRPr="00514881">
        <w:rPr>
          <w:b/>
        </w:rPr>
        <w:t>Office Hours:</w:t>
      </w:r>
      <w:r>
        <w:t xml:space="preserve"> Tuesdays 5:00 pm - 6:00 pm (Evolv1</w:t>
      </w:r>
      <w:r w:rsidRPr="00ED2D5E">
        <w:t>)</w:t>
      </w:r>
      <w:r>
        <w:t>; Wednesdays 10:30 am -11:30 am (EV2 2004); or by appointment</w:t>
      </w:r>
    </w:p>
    <w:p w14:paraId="52EF5CBE" w14:textId="77777777" w:rsidR="000F5E12" w:rsidRDefault="000F5E12" w:rsidP="000F5E12"/>
    <w:p w14:paraId="43C5D484" w14:textId="77777777" w:rsidR="000F5E12" w:rsidRDefault="000F5E12" w:rsidP="000F5E12">
      <w:pPr>
        <w:outlineLvl w:val="0"/>
      </w:pPr>
      <w:r w:rsidRPr="00514881">
        <w:rPr>
          <w:b/>
        </w:rPr>
        <w:t>Lecture</w:t>
      </w:r>
      <w:r>
        <w:rPr>
          <w:b/>
        </w:rPr>
        <w:t xml:space="preserve">: </w:t>
      </w:r>
      <w:r>
        <w:t>Tues</w:t>
      </w:r>
      <w:r w:rsidRPr="0077071C">
        <w:t xml:space="preserve">days </w:t>
      </w:r>
      <w:r>
        <w:t>6:30 pm - 9:20 pm</w:t>
      </w:r>
      <w:r w:rsidRPr="0077071C">
        <w:t xml:space="preserve"> </w:t>
      </w:r>
      <w:r>
        <w:t>EVOLV1</w:t>
      </w:r>
    </w:p>
    <w:p w14:paraId="1776B096" w14:textId="77777777" w:rsidR="000F5E12" w:rsidRDefault="000F5E12" w:rsidP="000F5E12"/>
    <w:p w14:paraId="3F611BCC" w14:textId="77777777" w:rsidR="000F5E12" w:rsidRPr="00176B10" w:rsidRDefault="000F5E12" w:rsidP="000F5E12">
      <w:pPr>
        <w:rPr>
          <w:rFonts w:cstheme="minorHAnsi"/>
          <w:b/>
          <w:bCs/>
          <w:color w:val="252525"/>
          <w:shd w:val="clear" w:color="auto" w:fill="FFFFFF"/>
        </w:rPr>
      </w:pPr>
      <w:r w:rsidRPr="00176B10">
        <w:rPr>
          <w:rFonts w:cstheme="minorHAnsi"/>
          <w:b/>
          <w:bCs/>
          <w:color w:val="252525"/>
          <w:shd w:val="clear" w:color="auto" w:fill="FFFFFF"/>
        </w:rPr>
        <w:t>Calendar Description</w:t>
      </w:r>
    </w:p>
    <w:p w14:paraId="0B742885" w14:textId="77777777" w:rsidR="000F5E12" w:rsidRPr="00176B10" w:rsidRDefault="000F5E12" w:rsidP="000F5E12">
      <w:pPr>
        <w:rPr>
          <w:rFonts w:cstheme="minorHAnsi"/>
        </w:rPr>
      </w:pPr>
      <w:r w:rsidRPr="00176B10">
        <w:rPr>
          <w:rFonts w:cstheme="minorHAnsi"/>
          <w:color w:val="252525"/>
          <w:shd w:val="clear" w:color="auto" w:fill="FFFFFF"/>
        </w:rPr>
        <w:t>This course offers a critical examination of the innovation, knowledge creation and circulation, and governance processes that underpin contemporary economic development in cities and regions. Strategies, policies and programs that are intended to support and promote innovation and economic development in urban and regional economies are analyzed.</w:t>
      </w:r>
    </w:p>
    <w:p w14:paraId="02432DC4" w14:textId="77777777" w:rsidR="000F5E12" w:rsidRPr="00176B10" w:rsidRDefault="000F5E12" w:rsidP="000F5E12">
      <w:pPr>
        <w:jc w:val="both"/>
        <w:rPr>
          <w:rFonts w:cstheme="minorHAnsi"/>
        </w:rPr>
      </w:pPr>
    </w:p>
    <w:p w14:paraId="663F7B90" w14:textId="77777777" w:rsidR="000F5E12" w:rsidRPr="00A1037C" w:rsidRDefault="000F5E12" w:rsidP="000F5E12">
      <w:pPr>
        <w:rPr>
          <w:b/>
        </w:rPr>
      </w:pPr>
      <w:r w:rsidRPr="002A19F8">
        <w:rPr>
          <w:b/>
        </w:rPr>
        <w:t>Course Objectives and Description</w:t>
      </w:r>
    </w:p>
    <w:p w14:paraId="2C742878" w14:textId="77777777" w:rsidR="000F5E12" w:rsidRDefault="000F5E12" w:rsidP="000F5E12">
      <w:pPr>
        <w:jc w:val="both"/>
        <w:rPr>
          <w:rFonts w:cstheme="minorHAnsi"/>
        </w:rPr>
      </w:pPr>
      <w:r>
        <w:rPr>
          <w:rFonts w:cstheme="minorHAnsi"/>
        </w:rPr>
        <w:t xml:space="preserve">“Innovation” is often positioned as a key driver of economic development, but the term is often vaguely defined. This graduate seminar will consider a range of ideas and perspectives on </w:t>
      </w:r>
      <w:proofErr w:type="gramStart"/>
      <w:r>
        <w:rPr>
          <w:rFonts w:cstheme="minorHAnsi"/>
        </w:rPr>
        <w:t>innovation, and</w:t>
      </w:r>
      <w:proofErr w:type="gramEnd"/>
      <w:r>
        <w:rPr>
          <w:rFonts w:cstheme="minorHAnsi"/>
        </w:rPr>
        <w:t xml:space="preserve"> consider why the idea of innovation has become a key driver of economic development activity within cities and regions, rather than at a strictly national level. The course will begin by considering key theoretical perspectives on innovation and understanding how that that theory impacts and shapes development practice. During this course, we will consider the connections between innovation, cluster development and economic hubs. We will examine the links between innovation, talent and workforce development, and how innovation’s development impacts differ by industry.</w:t>
      </w:r>
    </w:p>
    <w:p w14:paraId="7F415650" w14:textId="77777777" w:rsidR="000F5E12" w:rsidRDefault="000F5E12" w:rsidP="000F5E12">
      <w:pPr>
        <w:jc w:val="both"/>
        <w:rPr>
          <w:rFonts w:cstheme="minorHAnsi"/>
        </w:rPr>
      </w:pPr>
    </w:p>
    <w:p w14:paraId="08992949" w14:textId="77777777" w:rsidR="000F5E12" w:rsidRDefault="000F5E12" w:rsidP="000F5E12">
      <w:pPr>
        <w:jc w:val="both"/>
        <w:rPr>
          <w:rFonts w:cstheme="minorHAnsi"/>
        </w:rPr>
      </w:pPr>
      <w:r>
        <w:rPr>
          <w:rFonts w:cstheme="minorHAnsi"/>
        </w:rPr>
        <w:t xml:space="preserve">The course will also </w:t>
      </w:r>
      <w:proofErr w:type="gramStart"/>
      <w:r>
        <w:rPr>
          <w:rFonts w:cstheme="minorHAnsi"/>
        </w:rPr>
        <w:t>give consideration to</w:t>
      </w:r>
      <w:proofErr w:type="gramEnd"/>
      <w:r>
        <w:rPr>
          <w:rFonts w:cstheme="minorHAnsi"/>
        </w:rPr>
        <w:t xml:space="preserve"> those who are potentially marginalized by innovation processes, and how that marginalization reshapes economic development approaches. We will critically examine the way in which city and regional authorities working at the local level may enhance their resilience and capacity in order to achieve economic development success in an era of rapid innovation.</w:t>
      </w:r>
    </w:p>
    <w:p w14:paraId="76D1907C" w14:textId="77777777" w:rsidR="000F5E12" w:rsidRPr="007B73CD" w:rsidRDefault="000F5E12" w:rsidP="000F5E12">
      <w:pPr>
        <w:jc w:val="both"/>
        <w:rPr>
          <w:rFonts w:cstheme="minorHAnsi"/>
        </w:rPr>
      </w:pPr>
      <w:r>
        <w:lastRenderedPageBreak/>
        <w:t>Students will also be expected to share insights form their own research and work experiences, and from their personal knowledge of innovation and economic development in cities and regions. They will gain key professional skills including the ability to apply theoretical knowledge to city and regional challenges, and peer-to-peer communications skills.</w:t>
      </w:r>
    </w:p>
    <w:p w14:paraId="60A0E360" w14:textId="77777777" w:rsidR="000F5E12" w:rsidRDefault="000F5E12" w:rsidP="000F5E12">
      <w:pPr>
        <w:rPr>
          <w:b/>
        </w:rPr>
      </w:pPr>
    </w:p>
    <w:p w14:paraId="173FBD4F" w14:textId="77777777" w:rsidR="000F5E12" w:rsidRPr="007746CB" w:rsidRDefault="000F5E12" w:rsidP="000F5E12">
      <w:pPr>
        <w:rPr>
          <w:b/>
        </w:rPr>
      </w:pPr>
      <w:r w:rsidRPr="007746CB">
        <w:rPr>
          <w:b/>
        </w:rPr>
        <w:t>Course Assessment:</w:t>
      </w:r>
    </w:p>
    <w:p w14:paraId="034E349A" w14:textId="77777777" w:rsidR="000F5E12" w:rsidRDefault="000F5E12" w:rsidP="000F5E12"/>
    <w:p w14:paraId="6A44B48F" w14:textId="77777777" w:rsidR="000F5E12" w:rsidRPr="008F7579" w:rsidRDefault="000F5E12" w:rsidP="000F5E12">
      <w:pPr>
        <w:rPr>
          <w:b/>
          <w:u w:val="single"/>
        </w:rPr>
      </w:pPr>
      <w:r w:rsidRPr="008F7579">
        <w:rPr>
          <w:b/>
          <w:u w:val="single"/>
        </w:rPr>
        <w:t>Assignment</w:t>
      </w:r>
      <w:r w:rsidRPr="008F7579">
        <w:rPr>
          <w:b/>
          <w:u w:val="single"/>
        </w:rPr>
        <w:tab/>
      </w:r>
      <w:r w:rsidRPr="008F7579">
        <w:rPr>
          <w:b/>
          <w:u w:val="single"/>
        </w:rPr>
        <w:tab/>
      </w:r>
      <w:r w:rsidRPr="008F7579">
        <w:rPr>
          <w:b/>
          <w:u w:val="single"/>
        </w:rPr>
        <w:tab/>
      </w:r>
      <w:r w:rsidRPr="008F7579">
        <w:rPr>
          <w:b/>
          <w:u w:val="single"/>
        </w:rPr>
        <w:tab/>
        <w:t>Due Date</w:t>
      </w:r>
      <w:r w:rsidRPr="008F7579">
        <w:rPr>
          <w:b/>
          <w:u w:val="single"/>
        </w:rPr>
        <w:tab/>
      </w:r>
      <w:r w:rsidRPr="008F7579">
        <w:rPr>
          <w:b/>
          <w:u w:val="single"/>
        </w:rPr>
        <w:tab/>
      </w:r>
      <w:r w:rsidRPr="008F7579">
        <w:rPr>
          <w:b/>
          <w:u w:val="single"/>
        </w:rPr>
        <w:tab/>
      </w:r>
      <w:r w:rsidRPr="008F7579">
        <w:rPr>
          <w:b/>
          <w:u w:val="single"/>
        </w:rPr>
        <w:tab/>
        <w:t>Value (%)</w:t>
      </w:r>
    </w:p>
    <w:p w14:paraId="68CFD021" w14:textId="77777777" w:rsidR="000F5E12" w:rsidRDefault="000F5E12" w:rsidP="000F5E12">
      <w:r>
        <w:t>Concept Paper – “Innovation”</w:t>
      </w:r>
      <w:r>
        <w:tab/>
        <w:t>January 28</w:t>
      </w:r>
      <w:r>
        <w:tab/>
      </w:r>
      <w:r>
        <w:tab/>
      </w:r>
      <w:r>
        <w:tab/>
      </w:r>
      <w:r>
        <w:tab/>
        <w:t>10</w:t>
      </w:r>
    </w:p>
    <w:p w14:paraId="07706E57" w14:textId="77777777" w:rsidR="000F5E12" w:rsidRDefault="000F5E12" w:rsidP="000F5E12">
      <w:r w:rsidRPr="00E1722D">
        <w:t>Classroom Engagement</w:t>
      </w:r>
      <w:r w:rsidRPr="00E1722D">
        <w:tab/>
      </w:r>
      <w:r w:rsidRPr="00E1722D">
        <w:tab/>
        <w:t>Ongoing</w:t>
      </w:r>
      <w:r w:rsidRPr="00E1722D">
        <w:tab/>
      </w:r>
      <w:r w:rsidRPr="00E1722D">
        <w:tab/>
      </w:r>
      <w:r w:rsidRPr="00E1722D">
        <w:tab/>
      </w:r>
      <w:r w:rsidRPr="00E1722D">
        <w:tab/>
      </w:r>
      <w:r>
        <w:t>20</w:t>
      </w:r>
    </w:p>
    <w:p w14:paraId="7F45A5BE" w14:textId="77777777" w:rsidR="000F5E12" w:rsidRDefault="000F5E12" w:rsidP="000F5E12">
      <w:r>
        <w:t>Seminar Presentation</w:t>
      </w:r>
      <w:r>
        <w:tab/>
      </w:r>
      <w:r>
        <w:tab/>
      </w:r>
      <w:r>
        <w:tab/>
      </w:r>
      <w:r w:rsidRPr="00710CD1">
        <w:t>Ongoing</w:t>
      </w:r>
      <w:r w:rsidRPr="00710CD1">
        <w:tab/>
      </w:r>
      <w:r w:rsidRPr="00710CD1">
        <w:tab/>
      </w:r>
      <w:r w:rsidRPr="00710CD1">
        <w:tab/>
      </w:r>
      <w:r w:rsidRPr="00710CD1">
        <w:tab/>
        <w:t>20</w:t>
      </w:r>
    </w:p>
    <w:p w14:paraId="2DF45552" w14:textId="77777777" w:rsidR="000F5E12" w:rsidRPr="00E1722D" w:rsidRDefault="000F5E12" w:rsidP="000F5E12">
      <w:r>
        <w:t>Seminar Response Paper</w:t>
      </w:r>
      <w:r>
        <w:tab/>
      </w:r>
      <w:r w:rsidRPr="00A13BE8">
        <w:tab/>
      </w:r>
      <w:r>
        <w:t>Ongoing</w:t>
      </w:r>
      <w:r w:rsidRPr="00A13BE8">
        <w:tab/>
      </w:r>
      <w:r w:rsidRPr="00A13BE8">
        <w:tab/>
      </w:r>
      <w:r w:rsidRPr="00A13BE8">
        <w:tab/>
      </w:r>
      <w:r w:rsidRPr="00A13BE8">
        <w:tab/>
      </w:r>
      <w:r>
        <w:t>1</w:t>
      </w:r>
      <w:r w:rsidRPr="00A13BE8">
        <w:t>0</w:t>
      </w:r>
    </w:p>
    <w:p w14:paraId="117A08D4" w14:textId="77777777" w:rsidR="000F5E12" w:rsidRDefault="000F5E12" w:rsidP="000F5E12">
      <w:r>
        <w:t>Research Paper – Proposal</w:t>
      </w:r>
      <w:r>
        <w:tab/>
      </w:r>
      <w:r>
        <w:tab/>
        <w:t>February 14</w:t>
      </w:r>
      <w:r>
        <w:tab/>
      </w:r>
      <w:r>
        <w:tab/>
      </w:r>
      <w:r>
        <w:tab/>
      </w:r>
      <w:proofErr w:type="gramStart"/>
      <w:r>
        <w:tab/>
        <w:t xml:space="preserve">  5</w:t>
      </w:r>
      <w:proofErr w:type="gramEnd"/>
    </w:p>
    <w:p w14:paraId="11B15EEC" w14:textId="77777777" w:rsidR="000F5E12" w:rsidRPr="000D1509" w:rsidRDefault="000F5E12" w:rsidP="000F5E12">
      <w:r>
        <w:t>Research Paper</w:t>
      </w:r>
      <w:r>
        <w:tab/>
      </w:r>
      <w:r>
        <w:tab/>
      </w:r>
      <w:r>
        <w:tab/>
        <w:t>April 7</w:t>
      </w:r>
      <w:r>
        <w:tab/>
      </w:r>
      <w:r>
        <w:tab/>
      </w:r>
      <w:r>
        <w:tab/>
      </w:r>
      <w:r>
        <w:tab/>
      </w:r>
      <w:r>
        <w:tab/>
        <w:t>35</w:t>
      </w:r>
    </w:p>
    <w:p w14:paraId="5C933629" w14:textId="77777777" w:rsidR="000F5E12" w:rsidRDefault="000F5E12" w:rsidP="000F5E12"/>
    <w:p w14:paraId="1691A61A" w14:textId="77777777" w:rsidR="000F5E12" w:rsidRDefault="000F5E12" w:rsidP="000F5E12">
      <w:pPr>
        <w:rPr>
          <w:b/>
        </w:rPr>
      </w:pPr>
    </w:p>
    <w:p w14:paraId="6C9DF9CD" w14:textId="77777777" w:rsidR="000F5E12" w:rsidRDefault="000F5E12" w:rsidP="000F5E12">
      <w:pPr>
        <w:rPr>
          <w:b/>
        </w:rPr>
      </w:pPr>
      <w:r>
        <w:rPr>
          <w:b/>
        </w:rPr>
        <w:t>Delivery of Course Materials</w:t>
      </w:r>
    </w:p>
    <w:p w14:paraId="03851CD2" w14:textId="77777777" w:rsidR="000F5E12" w:rsidRDefault="000F5E12" w:rsidP="000F5E12">
      <w:pPr>
        <w:pStyle w:val="ListParagraph"/>
        <w:numPr>
          <w:ilvl w:val="0"/>
          <w:numId w:val="6"/>
        </w:numPr>
      </w:pPr>
      <w:r>
        <w:t xml:space="preserve">Material for this course will be available on the LEARN system. Go to </w:t>
      </w:r>
      <w:hyperlink r:id="rId9" w:history="1">
        <w:r w:rsidRPr="0047006A">
          <w:rPr>
            <w:rStyle w:val="Hyperlink"/>
          </w:rPr>
          <w:t>https://learn.uwaterloo.ca/</w:t>
        </w:r>
      </w:hyperlink>
      <w:r>
        <w:t xml:space="preserve"> </w:t>
      </w:r>
    </w:p>
    <w:p w14:paraId="24AF54C5" w14:textId="77777777" w:rsidR="000F5E12" w:rsidRDefault="000F5E12" w:rsidP="000F5E12">
      <w:pPr>
        <w:pStyle w:val="ListParagraph"/>
        <w:numPr>
          <w:ilvl w:val="0"/>
          <w:numId w:val="6"/>
        </w:numPr>
      </w:pPr>
      <w:r>
        <w:t>The course syllabus is available on the course website (through the LEARN system</w:t>
      </w:r>
      <w:proofErr w:type="gramStart"/>
      <w:r>
        <w:t>), and</w:t>
      </w:r>
      <w:proofErr w:type="gramEnd"/>
      <w:r>
        <w:t xml:space="preserve"> will be discussed during the first class.</w:t>
      </w:r>
    </w:p>
    <w:p w14:paraId="7553D10C" w14:textId="77777777" w:rsidR="000F5E12" w:rsidRPr="00423B40" w:rsidRDefault="000F5E12" w:rsidP="000F5E12">
      <w:pPr>
        <w:pStyle w:val="ListParagraph"/>
        <w:numPr>
          <w:ilvl w:val="0"/>
          <w:numId w:val="6"/>
        </w:numPr>
      </w:pPr>
      <w:r>
        <w:t xml:space="preserve">Class </w:t>
      </w:r>
      <w:r w:rsidRPr="002852D0">
        <w:t xml:space="preserve">PowerPoint </w:t>
      </w:r>
      <w:r>
        <w:t>p</w:t>
      </w:r>
      <w:r w:rsidRPr="002852D0">
        <w:t xml:space="preserve">resentations </w:t>
      </w:r>
      <w:r>
        <w:t xml:space="preserve">will generally be posted </w:t>
      </w:r>
      <w:r w:rsidRPr="002852D0">
        <w:t>on LEARN before class. (</w:t>
      </w:r>
      <w:r>
        <w:t>No</w:t>
      </w:r>
      <w:r w:rsidRPr="00FA0C3E">
        <w:t>te</w:t>
      </w:r>
      <w:r>
        <w:t xml:space="preserve">: PowerPoint content will typically </w:t>
      </w:r>
      <w:r w:rsidRPr="007100C3">
        <w:rPr>
          <w:u w:val="single"/>
        </w:rPr>
        <w:t>not</w:t>
      </w:r>
      <w:r>
        <w:t xml:space="preserve"> cover all issues or ideas discussed in class</w:t>
      </w:r>
      <w:r w:rsidRPr="00FA0C3E">
        <w:t>.)</w:t>
      </w:r>
    </w:p>
    <w:p w14:paraId="2B879E24" w14:textId="77777777" w:rsidR="000F5E12" w:rsidRPr="00FA0C3E" w:rsidRDefault="000F5E12" w:rsidP="000F5E12">
      <w:pPr>
        <w:pStyle w:val="ListParagraph"/>
        <w:numPr>
          <w:ilvl w:val="0"/>
          <w:numId w:val="6"/>
        </w:numPr>
      </w:pPr>
      <w:r>
        <w:t>T</w:t>
      </w:r>
      <w:r w:rsidRPr="00FA0C3E">
        <w:t xml:space="preserve">he LEARN system </w:t>
      </w:r>
      <w:r>
        <w:t xml:space="preserve">is used </w:t>
      </w:r>
      <w:r w:rsidRPr="00FA0C3E">
        <w:t>to deliver information to students in the course</w:t>
      </w:r>
      <w:r>
        <w:t>; checking the system on most business days is strongly advised</w:t>
      </w:r>
      <w:r w:rsidRPr="00FA0C3E">
        <w:t>.</w:t>
      </w:r>
    </w:p>
    <w:p w14:paraId="0CCA8A65" w14:textId="77777777" w:rsidR="000F5E12" w:rsidRDefault="000F5E12" w:rsidP="000F5E12">
      <w:pPr>
        <w:rPr>
          <w:rFonts w:ascii="Times" w:hAnsi="Times" w:cs="Times"/>
          <w:sz w:val="26"/>
          <w:szCs w:val="26"/>
          <w:lang w:val="en-US"/>
        </w:rPr>
      </w:pPr>
    </w:p>
    <w:p w14:paraId="512C0AD3" w14:textId="77777777" w:rsidR="000F5E12" w:rsidRPr="00423B40" w:rsidRDefault="000F5E12" w:rsidP="000F5E12">
      <w:pPr>
        <w:rPr>
          <w:b/>
        </w:rPr>
      </w:pPr>
      <w:r>
        <w:rPr>
          <w:b/>
        </w:rPr>
        <w:t>Course Readings</w:t>
      </w:r>
    </w:p>
    <w:p w14:paraId="21A81B18" w14:textId="77777777" w:rsidR="000F5E12" w:rsidRDefault="000F5E12" w:rsidP="000F5E12">
      <w:r>
        <w:t xml:space="preserve">There is no required textbook for this course. All required readings and other relevant materials will be made available via LEARN, </w:t>
      </w:r>
      <w:r w:rsidRPr="00084AC5">
        <w:t>at the “Library e-reserves” section</w:t>
      </w:r>
      <w:r>
        <w:t>, Dana Porter Library (Reserves), or accessed via the Internet.</w:t>
      </w:r>
    </w:p>
    <w:p w14:paraId="49242469" w14:textId="77777777" w:rsidR="000F5E12" w:rsidRDefault="000F5E12" w:rsidP="000F5E12"/>
    <w:p w14:paraId="0A95AEEF" w14:textId="77777777" w:rsidR="000F5E12" w:rsidRPr="003A64F0" w:rsidRDefault="000F5E12" w:rsidP="000F5E12">
      <w:pPr>
        <w:jc w:val="center"/>
        <w:outlineLvl w:val="0"/>
        <w:rPr>
          <w:b/>
          <w:sz w:val="28"/>
        </w:rPr>
      </w:pPr>
      <w:r w:rsidRPr="003A64F0">
        <w:rPr>
          <w:b/>
          <w:sz w:val="28"/>
        </w:rPr>
        <w:t>Course Policies</w:t>
      </w:r>
    </w:p>
    <w:p w14:paraId="2B64B1AF" w14:textId="77777777" w:rsidR="000F5E12" w:rsidRDefault="000F5E12" w:rsidP="000F5E12">
      <w:pPr>
        <w:rPr>
          <w:b/>
        </w:rPr>
      </w:pPr>
    </w:p>
    <w:p w14:paraId="51015C84" w14:textId="77777777" w:rsidR="000F5E12" w:rsidRPr="00591119" w:rsidRDefault="000F5E12" w:rsidP="000F5E12">
      <w:pPr>
        <w:rPr>
          <w:b/>
        </w:rPr>
      </w:pPr>
      <w:r w:rsidRPr="00963929">
        <w:rPr>
          <w:b/>
        </w:rPr>
        <w:t>Grad</w:t>
      </w:r>
      <w:r>
        <w:rPr>
          <w:b/>
        </w:rPr>
        <w:t>ing Policy</w:t>
      </w:r>
    </w:p>
    <w:p w14:paraId="3C471AE8" w14:textId="77777777" w:rsidR="000F5E12" w:rsidRDefault="000F5E12" w:rsidP="000F5E12">
      <w:r w:rsidRPr="00C43E62">
        <w:t>The following table provides students with a basic guideline to grading in this course.</w:t>
      </w:r>
    </w:p>
    <w:p w14:paraId="0EDFFFCA" w14:textId="77777777" w:rsidR="000F5E12" w:rsidRDefault="000F5E12" w:rsidP="000F5E12"/>
    <w:tbl>
      <w:tblPr>
        <w:tblStyle w:val="TableGrid"/>
        <w:tblW w:w="0" w:type="auto"/>
        <w:tblLook w:val="04A0" w:firstRow="1" w:lastRow="0" w:firstColumn="1" w:lastColumn="0" w:noHBand="0" w:noVBand="1"/>
      </w:tblPr>
      <w:tblGrid>
        <w:gridCol w:w="846"/>
        <w:gridCol w:w="8504"/>
      </w:tblGrid>
      <w:tr w:rsidR="000F5E12" w14:paraId="1BB67801" w14:textId="77777777" w:rsidTr="00D571B3">
        <w:tc>
          <w:tcPr>
            <w:tcW w:w="846" w:type="dxa"/>
          </w:tcPr>
          <w:p w14:paraId="4264A320" w14:textId="77777777" w:rsidR="000F5E12" w:rsidRPr="00C43E62" w:rsidRDefault="000F5E12" w:rsidP="00D571B3">
            <w:pPr>
              <w:rPr>
                <w:b/>
              </w:rPr>
            </w:pPr>
            <w:r>
              <w:rPr>
                <w:b/>
              </w:rPr>
              <w:t>Mark</w:t>
            </w:r>
          </w:p>
        </w:tc>
        <w:tc>
          <w:tcPr>
            <w:tcW w:w="8504" w:type="dxa"/>
          </w:tcPr>
          <w:p w14:paraId="29D2EC0D" w14:textId="77777777" w:rsidR="000F5E12" w:rsidRPr="00C43E62" w:rsidRDefault="000F5E12" w:rsidP="00D571B3">
            <w:pPr>
              <w:rPr>
                <w:b/>
              </w:rPr>
            </w:pPr>
            <w:r>
              <w:rPr>
                <w:b/>
              </w:rPr>
              <w:t>Expectations/Requirements</w:t>
            </w:r>
          </w:p>
        </w:tc>
      </w:tr>
      <w:tr w:rsidR="000F5E12" w14:paraId="713D2999" w14:textId="77777777" w:rsidTr="00D571B3">
        <w:tc>
          <w:tcPr>
            <w:tcW w:w="846" w:type="dxa"/>
          </w:tcPr>
          <w:p w14:paraId="42268A91" w14:textId="77777777" w:rsidR="000F5E12" w:rsidRPr="00C43E62" w:rsidRDefault="000F5E12" w:rsidP="00D571B3">
            <w:pPr>
              <w:rPr>
                <w:b/>
              </w:rPr>
            </w:pPr>
            <w:r w:rsidRPr="00C43E62">
              <w:rPr>
                <w:b/>
              </w:rPr>
              <w:t>&gt;90</w:t>
            </w:r>
          </w:p>
        </w:tc>
        <w:tc>
          <w:tcPr>
            <w:tcW w:w="8504" w:type="dxa"/>
          </w:tcPr>
          <w:p w14:paraId="5B9EAC19" w14:textId="77777777" w:rsidR="000F5E12" w:rsidRDefault="000F5E12" w:rsidP="00D571B3">
            <w:r w:rsidRPr="00C43E62">
              <w:rPr>
                <w:b/>
              </w:rPr>
              <w:t>Exceptional</w:t>
            </w:r>
            <w:r>
              <w:t>:</w:t>
            </w:r>
            <w:r w:rsidRPr="00C43E62">
              <w:t xml:space="preserve"> Demonstrates a very strong grasp of subject matter and underlying substantive material. Few or no technical errors (typos, spelling, grammar). Clarity in writing style; coherent structure and flow; a degree of true originality; appropriate reference to source materials; presents a coherent and persuasive point of view.</w:t>
            </w:r>
          </w:p>
        </w:tc>
      </w:tr>
      <w:tr w:rsidR="000F5E12" w14:paraId="21873BEB" w14:textId="77777777" w:rsidTr="00D571B3">
        <w:tc>
          <w:tcPr>
            <w:tcW w:w="846" w:type="dxa"/>
          </w:tcPr>
          <w:p w14:paraId="5271CFB6" w14:textId="77777777" w:rsidR="000F5E12" w:rsidRPr="00C43E62" w:rsidRDefault="000F5E12" w:rsidP="00D571B3">
            <w:pPr>
              <w:rPr>
                <w:b/>
              </w:rPr>
            </w:pPr>
            <w:r w:rsidRPr="00C43E62">
              <w:rPr>
                <w:b/>
              </w:rPr>
              <w:lastRenderedPageBreak/>
              <w:t>80-90</w:t>
            </w:r>
          </w:p>
        </w:tc>
        <w:tc>
          <w:tcPr>
            <w:tcW w:w="8504" w:type="dxa"/>
          </w:tcPr>
          <w:p w14:paraId="733A6024" w14:textId="77777777" w:rsidR="000F5E12" w:rsidRDefault="000F5E12" w:rsidP="00D571B3">
            <w:r w:rsidRPr="00C43E62">
              <w:rPr>
                <w:b/>
              </w:rPr>
              <w:t>Very goo</w:t>
            </w:r>
            <w:r>
              <w:rPr>
                <w:b/>
              </w:rPr>
              <w:t>d</w:t>
            </w:r>
            <w:r>
              <w:t>:</w:t>
            </w:r>
            <w:r w:rsidRPr="00C43E62">
              <w:t xml:space="preserve"> Demonstrates a strong grasp of subject matter and underlying substantive material. Few technical errors; appropriate reference to source material; some attempt at originality; perhaps a few unreferenced points; </w:t>
            </w:r>
            <w:r>
              <w:t>well-</w:t>
            </w:r>
            <w:r w:rsidRPr="00C43E62">
              <w:t>structured</w:t>
            </w:r>
          </w:p>
        </w:tc>
      </w:tr>
      <w:tr w:rsidR="000F5E12" w14:paraId="66938071" w14:textId="77777777" w:rsidTr="00D571B3">
        <w:tc>
          <w:tcPr>
            <w:tcW w:w="846" w:type="dxa"/>
          </w:tcPr>
          <w:p w14:paraId="5C125D24" w14:textId="77777777" w:rsidR="000F5E12" w:rsidRPr="00C43E62" w:rsidRDefault="000F5E12" w:rsidP="00D571B3">
            <w:pPr>
              <w:rPr>
                <w:b/>
              </w:rPr>
            </w:pPr>
            <w:r w:rsidRPr="00C43E62">
              <w:rPr>
                <w:b/>
              </w:rPr>
              <w:t>70-80</w:t>
            </w:r>
          </w:p>
        </w:tc>
        <w:tc>
          <w:tcPr>
            <w:tcW w:w="8504" w:type="dxa"/>
          </w:tcPr>
          <w:p w14:paraId="478C25D0" w14:textId="77777777" w:rsidR="000F5E12" w:rsidRDefault="000F5E12" w:rsidP="00D571B3">
            <w:r w:rsidRPr="00C43E62">
              <w:rPr>
                <w:b/>
              </w:rPr>
              <w:t>Good</w:t>
            </w:r>
            <w:r>
              <w:t>:</w:t>
            </w:r>
            <w:r w:rsidRPr="00C43E62">
              <w:t xml:space="preserve"> Demonstrates solid understanding of material; few technical errors; well referenced.</w:t>
            </w:r>
          </w:p>
        </w:tc>
      </w:tr>
      <w:tr w:rsidR="000F5E12" w14:paraId="3065FEC9" w14:textId="77777777" w:rsidTr="00D571B3">
        <w:tc>
          <w:tcPr>
            <w:tcW w:w="846" w:type="dxa"/>
          </w:tcPr>
          <w:p w14:paraId="43B34DC3" w14:textId="77777777" w:rsidR="000F5E12" w:rsidRPr="00C43E62" w:rsidRDefault="000F5E12" w:rsidP="00D571B3">
            <w:pPr>
              <w:rPr>
                <w:b/>
              </w:rPr>
            </w:pPr>
            <w:r w:rsidRPr="00C43E62">
              <w:rPr>
                <w:b/>
              </w:rPr>
              <w:t>65-70</w:t>
            </w:r>
          </w:p>
        </w:tc>
        <w:tc>
          <w:tcPr>
            <w:tcW w:w="8504" w:type="dxa"/>
          </w:tcPr>
          <w:p w14:paraId="50BAFC18" w14:textId="77777777" w:rsidR="000F5E12" w:rsidRDefault="000F5E12" w:rsidP="00D571B3">
            <w:r w:rsidRPr="00C43E62">
              <w:rPr>
                <w:b/>
              </w:rPr>
              <w:t>Satisfactory</w:t>
            </w:r>
            <w:r>
              <w:t xml:space="preserve">: </w:t>
            </w:r>
            <w:r w:rsidRPr="00C43E62">
              <w:t>Demonstrates a basic understanding of material; some technical errors; some structure; some missing or inappropriate references.</w:t>
            </w:r>
          </w:p>
        </w:tc>
      </w:tr>
      <w:tr w:rsidR="000F5E12" w14:paraId="04CCDD01" w14:textId="77777777" w:rsidTr="00D571B3">
        <w:tc>
          <w:tcPr>
            <w:tcW w:w="846" w:type="dxa"/>
          </w:tcPr>
          <w:p w14:paraId="53EC253B" w14:textId="77777777" w:rsidR="000F5E12" w:rsidRPr="00C43E62" w:rsidRDefault="000F5E12" w:rsidP="00D571B3">
            <w:pPr>
              <w:rPr>
                <w:b/>
              </w:rPr>
            </w:pPr>
            <w:r w:rsidRPr="00C43E62">
              <w:rPr>
                <w:b/>
              </w:rPr>
              <w:t>50-65</w:t>
            </w:r>
          </w:p>
        </w:tc>
        <w:tc>
          <w:tcPr>
            <w:tcW w:w="8504" w:type="dxa"/>
          </w:tcPr>
          <w:p w14:paraId="255D3BD3" w14:textId="77777777" w:rsidR="000F5E12" w:rsidRDefault="000F5E12" w:rsidP="00D571B3">
            <w:r w:rsidRPr="00C43E62">
              <w:rPr>
                <w:b/>
              </w:rPr>
              <w:t>Marginal</w:t>
            </w:r>
            <w:r>
              <w:t>:</w:t>
            </w:r>
            <w:r w:rsidRPr="00C43E62">
              <w:t xml:space="preserve"> An unacceptable number of technical errors; little attempt to present coherent viewpoint; demonstrates a weak or superficial understanding of material; inappropriate or missing references; lack of structure</w:t>
            </w:r>
          </w:p>
        </w:tc>
      </w:tr>
      <w:tr w:rsidR="000F5E12" w14:paraId="6A2654AC" w14:textId="77777777" w:rsidTr="00D571B3">
        <w:tc>
          <w:tcPr>
            <w:tcW w:w="846" w:type="dxa"/>
          </w:tcPr>
          <w:p w14:paraId="4247308D" w14:textId="77777777" w:rsidR="000F5E12" w:rsidRPr="00C43E62" w:rsidRDefault="000F5E12" w:rsidP="00D571B3">
            <w:pPr>
              <w:rPr>
                <w:b/>
              </w:rPr>
            </w:pPr>
            <w:r w:rsidRPr="00C43E62">
              <w:rPr>
                <w:b/>
              </w:rPr>
              <w:t>&lt;50</w:t>
            </w:r>
          </w:p>
        </w:tc>
        <w:tc>
          <w:tcPr>
            <w:tcW w:w="8504" w:type="dxa"/>
          </w:tcPr>
          <w:p w14:paraId="401E6C1C" w14:textId="77777777" w:rsidR="000F5E12" w:rsidRPr="00C43E62" w:rsidRDefault="000F5E12" w:rsidP="00D571B3">
            <w:pPr>
              <w:rPr>
                <w:b/>
              </w:rPr>
            </w:pPr>
            <w:r w:rsidRPr="00C43E62">
              <w:rPr>
                <w:b/>
              </w:rPr>
              <w:t>Inadequate</w:t>
            </w:r>
          </w:p>
        </w:tc>
      </w:tr>
    </w:tbl>
    <w:p w14:paraId="5B8B36E7" w14:textId="77777777" w:rsidR="000F5E12" w:rsidRDefault="000F5E12" w:rsidP="000F5E12"/>
    <w:p w14:paraId="06C635C1" w14:textId="77777777" w:rsidR="000F5E12" w:rsidRDefault="000F5E12" w:rsidP="000F5E12">
      <w:pPr>
        <w:rPr>
          <w:b/>
          <w:bCs/>
        </w:rPr>
      </w:pPr>
      <w:r w:rsidRPr="00324279">
        <w:rPr>
          <w:b/>
          <w:bCs/>
        </w:rPr>
        <w:t>Assignment Submissions Policy</w:t>
      </w:r>
    </w:p>
    <w:p w14:paraId="7D08EDEC" w14:textId="77777777" w:rsidR="000F5E12" w:rsidRDefault="000F5E12" w:rsidP="000F5E12">
      <w:r w:rsidRPr="00324279">
        <w:t xml:space="preserve">All assignments must be submitted </w:t>
      </w:r>
      <w:r>
        <w:t xml:space="preserve">through </w:t>
      </w:r>
      <w:r w:rsidRPr="00324279">
        <w:t xml:space="preserve">the appropriate </w:t>
      </w:r>
      <w:proofErr w:type="spellStart"/>
      <w:r w:rsidRPr="00324279">
        <w:t>dropbox</w:t>
      </w:r>
      <w:proofErr w:type="spellEnd"/>
      <w:r w:rsidRPr="00324279">
        <w:t xml:space="preserve"> </w:t>
      </w:r>
      <w:r>
        <w:t xml:space="preserve">on LEARN </w:t>
      </w:r>
      <w:r w:rsidRPr="00324279">
        <w:t>before midnight (11:59</w:t>
      </w:r>
      <w:r>
        <w:t>:59 pm</w:t>
      </w:r>
      <w:r w:rsidRPr="00324279">
        <w:t>) on the due date using Microsoft Word (or an equivalent) format</w:t>
      </w:r>
      <w:r>
        <w:t>,</w:t>
      </w:r>
      <w:r w:rsidRPr="00324279">
        <w:t xml:space="preserve"> unless otherwise specified. It is </w:t>
      </w:r>
      <w:r>
        <w:t>the</w:t>
      </w:r>
      <w:r w:rsidRPr="00324279">
        <w:t xml:space="preserve"> student’s responsibility to ensure that the file has been uploaded correctly</w:t>
      </w:r>
      <w:r>
        <w:t xml:space="preserve"> and that the correct version has been uploaded</w:t>
      </w:r>
      <w:r w:rsidRPr="00324279">
        <w:t>. If a student encounters a problem with LEARN, it is their responsibility to 1) email the instructor before the submission deadline, and 2) submit the paper in hard copy before the start of class.</w:t>
      </w:r>
    </w:p>
    <w:p w14:paraId="5A9C7B82" w14:textId="77777777" w:rsidR="000F5E12" w:rsidRDefault="000F5E12" w:rsidP="000F5E12">
      <w:pPr>
        <w:rPr>
          <w:lang w:val="en-US"/>
        </w:rPr>
      </w:pPr>
    </w:p>
    <w:p w14:paraId="403AFEF9" w14:textId="77777777" w:rsidR="000F5E12" w:rsidRPr="006D624A" w:rsidRDefault="000F5E12" w:rsidP="000F5E12">
      <w:pPr>
        <w:jc w:val="both"/>
        <w:rPr>
          <w:lang w:val="en-US"/>
        </w:rPr>
      </w:pPr>
      <w:r>
        <w:rPr>
          <w:lang w:val="en-US"/>
        </w:rPr>
        <w:t>When submitting</w:t>
      </w:r>
      <w:r w:rsidRPr="006D624A">
        <w:rPr>
          <w:lang w:val="en-US"/>
        </w:rPr>
        <w:t xml:space="preserve"> an assignment </w:t>
      </w:r>
      <w:r>
        <w:rPr>
          <w:lang w:val="en-US"/>
        </w:rPr>
        <w:t>on</w:t>
      </w:r>
      <w:r w:rsidRPr="006D624A">
        <w:rPr>
          <w:lang w:val="en-US"/>
        </w:rPr>
        <w:t xml:space="preserve"> </w:t>
      </w:r>
      <w:r>
        <w:rPr>
          <w:lang w:val="en-US"/>
        </w:rPr>
        <w:t>Learn</w:t>
      </w:r>
      <w:r w:rsidRPr="006D624A">
        <w:rPr>
          <w:lang w:val="en-US"/>
        </w:rPr>
        <w:t>, you are agreeing to the following:</w:t>
      </w:r>
    </w:p>
    <w:p w14:paraId="32545AA5" w14:textId="77777777" w:rsidR="000F5E12" w:rsidRPr="006D624A" w:rsidRDefault="000F5E12" w:rsidP="000F5E12">
      <w:pPr>
        <w:pStyle w:val="ListParagraph"/>
        <w:numPr>
          <w:ilvl w:val="0"/>
          <w:numId w:val="7"/>
        </w:numPr>
        <w:jc w:val="both"/>
        <w:rPr>
          <w:lang w:val="en-US"/>
        </w:rPr>
      </w:pPr>
      <w:r w:rsidRPr="006D624A">
        <w:rPr>
          <w:lang w:val="en-US"/>
        </w:rPr>
        <w:t xml:space="preserve">You have </w:t>
      </w:r>
      <w:r>
        <w:rPr>
          <w:lang w:val="en-US"/>
        </w:rPr>
        <w:t>appropriately</w:t>
      </w:r>
      <w:r w:rsidRPr="006D624A">
        <w:rPr>
          <w:lang w:val="en-US"/>
        </w:rPr>
        <w:t xml:space="preserve"> referenced and footnoted all ideas, words or other intellectual property </w:t>
      </w:r>
      <w:r>
        <w:rPr>
          <w:lang w:val="en-US"/>
        </w:rPr>
        <w:t>that originate from</w:t>
      </w:r>
      <w:r w:rsidRPr="006D624A">
        <w:rPr>
          <w:lang w:val="en-US"/>
        </w:rPr>
        <w:t xml:space="preserve"> other sources used in </w:t>
      </w:r>
      <w:r>
        <w:rPr>
          <w:lang w:val="en-US"/>
        </w:rPr>
        <w:t>completing the</w:t>
      </w:r>
      <w:r w:rsidRPr="006D624A">
        <w:rPr>
          <w:lang w:val="en-US"/>
        </w:rPr>
        <w:t xml:space="preserve"> assignment. </w:t>
      </w:r>
      <w:r w:rsidRPr="006D624A">
        <w:rPr>
          <w:rFonts w:ascii="MS Mincho" w:eastAsia="MS Mincho" w:hAnsi="MS Mincho" w:cs="MS Mincho"/>
          <w:lang w:val="en-US"/>
        </w:rPr>
        <w:t> </w:t>
      </w:r>
    </w:p>
    <w:p w14:paraId="69262AA7" w14:textId="77777777" w:rsidR="000F5E12" w:rsidRPr="006D624A" w:rsidRDefault="000F5E12" w:rsidP="000F5E12">
      <w:pPr>
        <w:pStyle w:val="ListParagraph"/>
        <w:numPr>
          <w:ilvl w:val="0"/>
          <w:numId w:val="7"/>
        </w:numPr>
        <w:jc w:val="both"/>
        <w:rPr>
          <w:lang w:val="en-US"/>
        </w:rPr>
      </w:pPr>
      <w:r w:rsidRPr="006D624A">
        <w:rPr>
          <w:lang w:val="en-US"/>
        </w:rPr>
        <w:t>You have included a proper bibliography, which acknowledg</w:t>
      </w:r>
      <w:r>
        <w:rPr>
          <w:lang w:val="en-US"/>
        </w:rPr>
        <w:t>es</w:t>
      </w:r>
      <w:r w:rsidRPr="006D624A">
        <w:rPr>
          <w:lang w:val="en-US"/>
        </w:rPr>
        <w:t xml:space="preserve"> all sources </w:t>
      </w:r>
      <w:r>
        <w:rPr>
          <w:lang w:val="en-US"/>
        </w:rPr>
        <w:t xml:space="preserve">and materials </w:t>
      </w:r>
      <w:r w:rsidRPr="006D624A">
        <w:rPr>
          <w:lang w:val="en-US"/>
        </w:rPr>
        <w:t xml:space="preserve">used </w:t>
      </w:r>
      <w:r>
        <w:rPr>
          <w:lang w:val="en-US"/>
        </w:rPr>
        <w:t>in</w:t>
      </w:r>
      <w:r w:rsidRPr="006D624A">
        <w:rPr>
          <w:lang w:val="en-US"/>
        </w:rPr>
        <w:t xml:space="preserve"> comple</w:t>
      </w:r>
      <w:r>
        <w:rPr>
          <w:lang w:val="en-US"/>
        </w:rPr>
        <w:t>ting</w:t>
      </w:r>
      <w:r w:rsidRPr="006D624A">
        <w:rPr>
          <w:lang w:val="en-US"/>
        </w:rPr>
        <w:t xml:space="preserve"> th</w:t>
      </w:r>
      <w:r>
        <w:rPr>
          <w:lang w:val="en-US"/>
        </w:rPr>
        <w:t>e</w:t>
      </w:r>
      <w:r w:rsidRPr="006D624A">
        <w:rPr>
          <w:lang w:val="en-US"/>
        </w:rPr>
        <w:t xml:space="preserve"> assignment.</w:t>
      </w:r>
    </w:p>
    <w:p w14:paraId="783F4A24" w14:textId="77777777" w:rsidR="000F5E12" w:rsidRPr="006D624A" w:rsidRDefault="000F5E12" w:rsidP="000F5E12">
      <w:pPr>
        <w:pStyle w:val="ListParagraph"/>
        <w:numPr>
          <w:ilvl w:val="0"/>
          <w:numId w:val="7"/>
        </w:numPr>
        <w:jc w:val="both"/>
        <w:rPr>
          <w:lang w:val="en-US"/>
        </w:rPr>
      </w:pPr>
      <w:r>
        <w:rPr>
          <w:lang w:val="en-US"/>
        </w:rPr>
        <w:t>You have independently completed the assignment without outside assistance; y</w:t>
      </w:r>
      <w:r w:rsidRPr="006D624A">
        <w:rPr>
          <w:lang w:val="en-US"/>
        </w:rPr>
        <w:t>ou did not collaborate with any other person for ideas or answers (</w:t>
      </w:r>
      <w:proofErr w:type="gramStart"/>
      <w:r w:rsidRPr="006D624A">
        <w:rPr>
          <w:lang w:val="en-US"/>
        </w:rPr>
        <w:t>with the exception of</w:t>
      </w:r>
      <w:proofErr w:type="gramEnd"/>
      <w:r w:rsidRPr="006D624A">
        <w:rPr>
          <w:lang w:val="en-US"/>
        </w:rPr>
        <w:t xml:space="preserve"> any group project)</w:t>
      </w:r>
      <w:r>
        <w:rPr>
          <w:lang w:val="en-US"/>
        </w:rPr>
        <w:t>.</w:t>
      </w:r>
    </w:p>
    <w:p w14:paraId="2F0C427D" w14:textId="77777777" w:rsidR="000F5E12" w:rsidRPr="00046FB9" w:rsidRDefault="000F5E12" w:rsidP="000F5E12">
      <w:pPr>
        <w:pStyle w:val="ListParagraph"/>
        <w:numPr>
          <w:ilvl w:val="0"/>
          <w:numId w:val="7"/>
        </w:numPr>
        <w:jc w:val="both"/>
        <w:rPr>
          <w:lang w:val="en-US"/>
        </w:rPr>
      </w:pPr>
      <w:r>
        <w:rPr>
          <w:lang w:val="en-US"/>
        </w:rPr>
        <w:t xml:space="preserve">You have not previously submitted the </w:t>
      </w:r>
      <w:r w:rsidRPr="006D624A">
        <w:rPr>
          <w:lang w:val="en-US"/>
        </w:rPr>
        <w:t>assignment or essay (</w:t>
      </w:r>
      <w:r>
        <w:rPr>
          <w:lang w:val="en-US"/>
        </w:rPr>
        <w:t>or major portions of it</w:t>
      </w:r>
      <w:r w:rsidRPr="006D624A">
        <w:rPr>
          <w:lang w:val="en-US"/>
        </w:rPr>
        <w:t>) for academic evaluation</w:t>
      </w:r>
      <w:r>
        <w:rPr>
          <w:lang w:val="en-US"/>
        </w:rPr>
        <w:t xml:space="preserve"> in any past course</w:t>
      </w:r>
      <w:r w:rsidRPr="006D624A">
        <w:rPr>
          <w:lang w:val="en-US"/>
        </w:rPr>
        <w:t xml:space="preserve">. </w:t>
      </w:r>
      <w:r w:rsidRPr="006D624A">
        <w:rPr>
          <w:rFonts w:ascii="MS Mincho" w:eastAsia="MS Mincho" w:hAnsi="MS Mincho" w:cs="MS Mincho"/>
          <w:lang w:val="en-US"/>
        </w:rPr>
        <w:t> </w:t>
      </w:r>
    </w:p>
    <w:p w14:paraId="045F6F2F" w14:textId="77777777" w:rsidR="000F5E12" w:rsidRDefault="000F5E12" w:rsidP="000F5E12"/>
    <w:p w14:paraId="5C391346" w14:textId="77777777" w:rsidR="000F5E12" w:rsidRDefault="000F5E12" w:rsidP="000F5E12">
      <w:pPr>
        <w:jc w:val="both"/>
        <w:rPr>
          <w:b/>
        </w:rPr>
      </w:pPr>
      <w:r>
        <w:rPr>
          <w:b/>
        </w:rPr>
        <w:t>Turnitin.com</w:t>
      </w:r>
    </w:p>
    <w:p w14:paraId="14A53CEC" w14:textId="77777777" w:rsidR="000F5E12" w:rsidRDefault="000F5E12" w:rsidP="000F5E12">
      <w:r w:rsidRPr="00B9048D">
        <w:t>T</w:t>
      </w:r>
      <w:r>
        <w:t>he t</w:t>
      </w:r>
      <w:r w:rsidRPr="00B9048D">
        <w:t>ext</w:t>
      </w:r>
      <w:r>
        <w:t>-</w:t>
      </w:r>
      <w:r w:rsidRPr="00B9048D">
        <w:t xml:space="preserve">matching software </w:t>
      </w:r>
      <w:r>
        <w:t xml:space="preserve">program </w:t>
      </w:r>
      <w:r w:rsidRPr="00B9048D">
        <w:t>Turnitin®</w:t>
      </w:r>
      <w:r>
        <w:t xml:space="preserve"> may</w:t>
      </w:r>
      <w:r w:rsidRPr="00B9048D">
        <w:t xml:space="preserve"> be used to screen assignments in this course</w:t>
      </w:r>
      <w:r>
        <w:t xml:space="preserve">, in order </w:t>
      </w:r>
      <w:r w:rsidRPr="00B9048D">
        <w:t xml:space="preserve">to verify that </w:t>
      </w:r>
      <w:r>
        <w:t xml:space="preserve">the </w:t>
      </w:r>
      <w:r w:rsidRPr="00B9048D">
        <w:t xml:space="preserve">use of all materials and sources in assignments is </w:t>
      </w:r>
      <w:r>
        <w:t xml:space="preserve">appropriately </w:t>
      </w:r>
      <w:r w:rsidRPr="00B9048D">
        <w:t>documented.</w:t>
      </w:r>
      <w:r>
        <w:t xml:space="preserve"> Through </w:t>
      </w:r>
      <w:r w:rsidRPr="00B9048D">
        <w:t>Turnitin®</w:t>
      </w:r>
      <w:r>
        <w:t>, student submissions are stored on U.S.-based servers; s</w:t>
      </w:r>
      <w:r w:rsidRPr="00B9048D">
        <w:t xml:space="preserve">tudents who do not wish to submit their assignments via Turnitin® </w:t>
      </w:r>
      <w:r>
        <w:t xml:space="preserve">because of this </w:t>
      </w:r>
      <w:r w:rsidRPr="00B9048D">
        <w:t xml:space="preserve">must indicate this to the instructor by the </w:t>
      </w:r>
      <w:r>
        <w:t>second</w:t>
      </w:r>
      <w:r w:rsidRPr="00B9048D">
        <w:t xml:space="preserve"> week of class.</w:t>
      </w:r>
      <w:r w:rsidRPr="00867A7D">
        <w:t xml:space="preserve"> </w:t>
      </w:r>
      <w:r w:rsidRPr="00B9048D">
        <w:t xml:space="preserve">These students will </w:t>
      </w:r>
      <w:r>
        <w:t xml:space="preserve">arrange to </w:t>
      </w:r>
      <w:r w:rsidRPr="00B9048D">
        <w:t>submit their material electronically via e</w:t>
      </w:r>
      <w:r>
        <w:t>-</w:t>
      </w:r>
      <w:r w:rsidRPr="00B9048D">
        <w:t>mail directly to the instructor for evaluation and grading</w:t>
      </w:r>
      <w:r>
        <w:t>, and will be required to undertake additional protocols around sourcing</w:t>
      </w:r>
    </w:p>
    <w:p w14:paraId="221EF111" w14:textId="77777777" w:rsidR="000F5E12" w:rsidRDefault="000F5E12" w:rsidP="000F5E12">
      <w:pPr>
        <w:rPr>
          <w:b/>
        </w:rPr>
      </w:pPr>
    </w:p>
    <w:p w14:paraId="1812F005" w14:textId="77777777" w:rsidR="000F5E12" w:rsidRPr="00423B40" w:rsidRDefault="000F5E12" w:rsidP="000F5E12">
      <w:pPr>
        <w:rPr>
          <w:b/>
        </w:rPr>
      </w:pPr>
      <w:r w:rsidRPr="00A65BEF">
        <w:rPr>
          <w:b/>
        </w:rPr>
        <w:t>Policy on Late Submissions</w:t>
      </w:r>
    </w:p>
    <w:p w14:paraId="298EB74D" w14:textId="77777777" w:rsidR="000F5E12" w:rsidRPr="00502DB9" w:rsidRDefault="000F5E12" w:rsidP="000F5E12">
      <w:r w:rsidRPr="00502DB9">
        <w:t xml:space="preserve">Late submissions will be penalized </w:t>
      </w:r>
      <w:r w:rsidRPr="00B8503B">
        <w:t>5% per day</w:t>
      </w:r>
      <w:r w:rsidRPr="00084AC5">
        <w:t xml:space="preserve"> (of the 100 available per cent for that assignment)</w:t>
      </w:r>
      <w:r w:rsidRPr="004C75DA">
        <w:t xml:space="preserve"> </w:t>
      </w:r>
      <w:r w:rsidRPr="00502DB9">
        <w:t xml:space="preserve">unless you have </w:t>
      </w:r>
      <w:proofErr w:type="gramStart"/>
      <w:r w:rsidRPr="00502DB9">
        <w:t>made arrangements</w:t>
      </w:r>
      <w:proofErr w:type="gramEnd"/>
      <w:r w:rsidRPr="00502DB9">
        <w:t xml:space="preserve"> with the instructor in advance of the </w:t>
      </w:r>
      <w:r>
        <w:lastRenderedPageBreak/>
        <w:t xml:space="preserve">assignment </w:t>
      </w:r>
      <w:r w:rsidRPr="00502DB9">
        <w:t>deadline.</w:t>
      </w:r>
      <w:r w:rsidRPr="00B8503B">
        <w:t xml:space="preserve"> </w:t>
      </w:r>
      <w:r w:rsidRPr="00502DB9">
        <w:t xml:space="preserve">Failure to make a submission or a submission </w:t>
      </w:r>
      <w:r w:rsidRPr="00B8503B">
        <w:t xml:space="preserve">that is five days late or more will receive a grade of zero. </w:t>
      </w:r>
      <w:r>
        <w:t>L</w:t>
      </w:r>
      <w:r w:rsidRPr="00B8503B">
        <w:t xml:space="preserve">ateness will be </w:t>
      </w:r>
      <w:r>
        <w:t>assessed using</w:t>
      </w:r>
      <w:r w:rsidRPr="00502DB9">
        <w:t xml:space="preserve"> the time stamp produced </w:t>
      </w:r>
      <w:r>
        <w:t xml:space="preserve">at the time of submission </w:t>
      </w:r>
      <w:r w:rsidRPr="00502DB9">
        <w:t>through LEARN.</w:t>
      </w:r>
      <w:r w:rsidRPr="00B8503B">
        <w:t xml:space="preserve"> </w:t>
      </w:r>
      <w:r w:rsidRPr="00502DB9">
        <w:t>Exceptions will be made in extraordinary circumstances (usually related to medical emergencies supported by documentation). Students anticipating that their assignment will be submitted late are encouraged to contact the course instructor at the earliest possible time.</w:t>
      </w:r>
    </w:p>
    <w:p w14:paraId="631AC363" w14:textId="77777777" w:rsidR="000F5E12" w:rsidRPr="00502DB9" w:rsidRDefault="000F5E12" w:rsidP="000F5E12">
      <w:pPr>
        <w:rPr>
          <w:b/>
        </w:rPr>
      </w:pPr>
    </w:p>
    <w:p w14:paraId="14C69292" w14:textId="77777777" w:rsidR="000F5E12" w:rsidRPr="00A65BEF" w:rsidRDefault="000F5E12" w:rsidP="000F5E12">
      <w:pPr>
        <w:rPr>
          <w:b/>
        </w:rPr>
      </w:pPr>
      <w:r w:rsidRPr="00A65BEF">
        <w:rPr>
          <w:b/>
        </w:rPr>
        <w:t>Protocol for Contesting Graded Assignments</w:t>
      </w:r>
    </w:p>
    <w:p w14:paraId="20F1AA35" w14:textId="77777777" w:rsidR="000F5E12" w:rsidRDefault="000F5E12" w:rsidP="000F5E12">
      <w:pPr>
        <w:jc w:val="both"/>
      </w:pPr>
      <w:r w:rsidRPr="00084AC5">
        <w:t>Upon receipt of your graded assignment should you wish to contest the grading of your assignment (outside of simple errors in the addition of marks) the following protocol must be followed:</w:t>
      </w:r>
      <w:r>
        <w:rPr>
          <w:vanish/>
        </w:rPr>
        <w:cr/>
        <w:t>.  Agriculture'lens was not appughly.:00-2:00pm (EV3 )</w:t>
      </w:r>
      <w:r>
        <w:rPr>
          <w:vanish/>
        </w:rPr>
        <w:cr/>
        <w:t>30am ROOMer of nd achieved resultsrtment of Agriculture'lens was not app</w:t>
      </w:r>
    </w:p>
    <w:p w14:paraId="721B6B73" w14:textId="77777777" w:rsidR="000F5E12" w:rsidRPr="006114AF" w:rsidRDefault="000F5E12" w:rsidP="000F5E12">
      <w:pPr>
        <w:pStyle w:val="ListParagraph"/>
        <w:numPr>
          <w:ilvl w:val="0"/>
          <w:numId w:val="2"/>
        </w:numPr>
      </w:pPr>
      <w:r w:rsidRPr="006114AF">
        <w:rPr>
          <w:vanish/>
        </w:rPr>
        <w:cr/>
        <w:t>.  Agriculture'lens was not appughly.:00-2:00pm (EV3 )</w:t>
      </w:r>
      <w:r w:rsidRPr="006114AF">
        <w:rPr>
          <w:vanish/>
        </w:rPr>
        <w:cr/>
        <w:t>30am ROOMer of nd achieved resultsrtment of Agriculture'lens was not app</w:t>
      </w:r>
      <w:r w:rsidRPr="006114AF">
        <w:t>Read comments provided thoroughly.</w:t>
      </w:r>
    </w:p>
    <w:p w14:paraId="20F5FD76" w14:textId="77777777" w:rsidR="000F5E12" w:rsidRDefault="000F5E12" w:rsidP="000F5E12">
      <w:pPr>
        <w:pStyle w:val="ListParagraph"/>
        <w:numPr>
          <w:ilvl w:val="0"/>
          <w:numId w:val="2"/>
        </w:numPr>
        <w:jc w:val="both"/>
      </w:pPr>
      <w:r w:rsidRPr="006114AF">
        <w:rPr>
          <w:vanish/>
        </w:rPr>
        <w:cr/>
        <w:t>.  Agriculture'lens was not appughly.:00-2:00pm (EV3 )</w:t>
      </w:r>
      <w:r w:rsidRPr="006114AF">
        <w:rPr>
          <w:vanish/>
        </w:rPr>
        <w:cr/>
        <w:t>30am ROOMer of nd achieved resultsrtment of Agriculture'lens was not app</w:t>
      </w:r>
      <w:r>
        <w:t>After 24 hours, s</w:t>
      </w:r>
      <w:r w:rsidRPr="006114AF">
        <w:t>ubmit an e</w:t>
      </w:r>
      <w:r>
        <w:t>-</w:t>
      </w:r>
      <w:r w:rsidRPr="006114AF">
        <w:t>mail to the course instructor detailing why your assignment warrants a review. Please be sure to provide specific examples and justification as to why you feel your grade should be reconsidered. Be sure to include a copy of your graded assignment in the e</w:t>
      </w:r>
      <w:r>
        <w:t>-</w:t>
      </w:r>
      <w:r w:rsidRPr="006114AF">
        <w:t>mail.</w:t>
      </w:r>
    </w:p>
    <w:p w14:paraId="180953E3" w14:textId="77777777" w:rsidR="000F5E12" w:rsidRDefault="000F5E12" w:rsidP="000F5E12">
      <w:pPr>
        <w:pStyle w:val="ListParagraph"/>
        <w:numPr>
          <w:ilvl w:val="0"/>
          <w:numId w:val="2"/>
        </w:numPr>
        <w:jc w:val="both"/>
      </w:pPr>
      <w:r w:rsidRPr="006114AF">
        <w:t xml:space="preserve">The instructor will then review the stated reasons and decide whether regrading of the assignment is warranted. </w:t>
      </w:r>
    </w:p>
    <w:p w14:paraId="38E3F1E6" w14:textId="77777777" w:rsidR="000F5E12" w:rsidRDefault="000F5E12" w:rsidP="000F5E12">
      <w:pPr>
        <w:pStyle w:val="ListParagraph"/>
        <w:numPr>
          <w:ilvl w:val="0"/>
          <w:numId w:val="2"/>
        </w:numPr>
        <w:jc w:val="both"/>
      </w:pPr>
      <w:r w:rsidRPr="006114AF">
        <w:t xml:space="preserve">Should the instructor deem that regrading is warranted, the instructor will then ask the student whether they would like their assignment regraded, recognizing that the student’s grade could go up or down depending on the instructors’ assessment.  </w:t>
      </w:r>
    </w:p>
    <w:p w14:paraId="1BC3D481" w14:textId="77777777" w:rsidR="000F5E12" w:rsidRPr="006114AF" w:rsidRDefault="000F5E12" w:rsidP="000F5E12">
      <w:pPr>
        <w:pStyle w:val="ListParagraph"/>
        <w:numPr>
          <w:ilvl w:val="0"/>
          <w:numId w:val="2"/>
        </w:numPr>
        <w:jc w:val="both"/>
      </w:pPr>
      <w:r w:rsidRPr="006114AF">
        <w:t xml:space="preserve">The student can choose to either have the instructor go ahead with regrading the entire assignment or stick with their original grade. </w:t>
      </w:r>
    </w:p>
    <w:p w14:paraId="42BC2B6F" w14:textId="77777777" w:rsidR="000F5E12" w:rsidRDefault="000F5E12" w:rsidP="000F5E12"/>
    <w:p w14:paraId="47DB219B" w14:textId="77777777" w:rsidR="000F5E12" w:rsidRPr="00A65BEF" w:rsidRDefault="000F5E12" w:rsidP="000F5E12">
      <w:pPr>
        <w:rPr>
          <w:b/>
        </w:rPr>
      </w:pPr>
      <w:r w:rsidRPr="00A65BEF">
        <w:rPr>
          <w:b/>
        </w:rPr>
        <w:t>Course Material is Intellectual Property for your Use Only</w:t>
      </w:r>
    </w:p>
    <w:p w14:paraId="3CA520CF" w14:textId="77777777" w:rsidR="000F5E12" w:rsidRPr="00084AC5" w:rsidRDefault="000F5E12" w:rsidP="000F5E12">
      <w:pPr>
        <w:jc w:val="both"/>
      </w:pPr>
      <w:r w:rsidRPr="00084AC5">
        <w:t xml:space="preserve">All materials included in the course (e.g. PowerPoint slides) are made available digitally for your </w:t>
      </w:r>
      <w:proofErr w:type="gramStart"/>
      <w:r w:rsidRPr="00084AC5">
        <w:t>convenience, and</w:t>
      </w:r>
      <w:proofErr w:type="gramEnd"/>
      <w:r w:rsidRPr="00084AC5">
        <w:t xml:space="preserve"> are accessible through the LEARN course page. Please note that the use of these materials is intended for students currently enrolled in </w:t>
      </w:r>
      <w:r>
        <w:t>ECDEV 606</w:t>
      </w:r>
      <w:r w:rsidRPr="00084AC5">
        <w:t xml:space="preserve"> only. </w:t>
      </w:r>
      <w:r w:rsidRPr="006F0028">
        <w:t>Recording of the lectures (i.e. audio or video) is prohibited without the express written consent of the instructor.</w:t>
      </w:r>
      <w:r>
        <w:t xml:space="preserve"> T</w:t>
      </w:r>
      <w:r w:rsidRPr="00084AC5">
        <w:t xml:space="preserve">he distribution of </w:t>
      </w:r>
      <w:r>
        <w:t>PDF</w:t>
      </w:r>
      <w:r w:rsidRPr="00084AC5">
        <w:t xml:space="preserve"> file</w:t>
      </w:r>
      <w:r>
        <w:t>s</w:t>
      </w:r>
      <w:r w:rsidRPr="00084AC5">
        <w:t xml:space="preserve">, PowerPoint slides or any other media, either to individuals or to third-party websites (e.g. </w:t>
      </w:r>
      <w:proofErr w:type="spellStart"/>
      <w:r w:rsidRPr="00084AC5">
        <w:t>CourseHero</w:t>
      </w:r>
      <w:proofErr w:type="spellEnd"/>
      <w:r w:rsidRPr="00084AC5">
        <w:t>) is strictly prohibited. If there is any evidence that students have distributed materials</w:t>
      </w:r>
      <w:r>
        <w:t xml:space="preserve"> from this course</w:t>
      </w:r>
      <w:r w:rsidRPr="00084AC5">
        <w:t>, the instructor will remove posted</w:t>
      </w:r>
      <w:r>
        <w:t xml:space="preserve"> material</w:t>
      </w:r>
      <w:r w:rsidRPr="00084AC5">
        <w:t>, and cease posting intellectual property (e.g. PowerPoint slides) online and may pursue disciplinary action against the students in question.</w:t>
      </w:r>
    </w:p>
    <w:p w14:paraId="25E87573" w14:textId="77777777" w:rsidR="000F5E12" w:rsidRDefault="000F5E12" w:rsidP="000F5E12">
      <w:pPr>
        <w:outlineLvl w:val="0"/>
        <w:rPr>
          <w:b/>
        </w:rPr>
      </w:pPr>
    </w:p>
    <w:p w14:paraId="61EE84DB" w14:textId="77777777" w:rsidR="000F5E12" w:rsidRPr="00384EC0" w:rsidRDefault="000F5E12" w:rsidP="000F5E12">
      <w:pPr>
        <w:outlineLvl w:val="0"/>
        <w:rPr>
          <w:b/>
        </w:rPr>
      </w:pPr>
      <w:r>
        <w:rPr>
          <w:b/>
        </w:rPr>
        <w:t>Electronic Communications and Classroom Etiquette</w:t>
      </w:r>
    </w:p>
    <w:p w14:paraId="166BBBB9" w14:textId="77777777" w:rsidR="000F5E12" w:rsidRDefault="000F5E12" w:rsidP="000F5E12">
      <w:pPr>
        <w:pStyle w:val="ListParagraph"/>
        <w:numPr>
          <w:ilvl w:val="0"/>
          <w:numId w:val="3"/>
        </w:numPr>
        <w:jc w:val="both"/>
      </w:pPr>
      <w:r w:rsidRPr="00384EC0">
        <w:t xml:space="preserve">Electronic communication with </w:t>
      </w:r>
      <w:r>
        <w:t xml:space="preserve">the </w:t>
      </w:r>
      <w:r w:rsidRPr="00384EC0">
        <w:t>Course Instructors must be sent through LEARN.</w:t>
      </w:r>
    </w:p>
    <w:p w14:paraId="3E0D6CD7" w14:textId="77777777" w:rsidR="000F5E12" w:rsidRPr="00384EC0" w:rsidRDefault="000F5E12" w:rsidP="000F5E12">
      <w:pPr>
        <w:pStyle w:val="ListParagraph"/>
        <w:numPr>
          <w:ilvl w:val="0"/>
          <w:numId w:val="3"/>
        </w:numPr>
        <w:jc w:val="both"/>
      </w:pPr>
      <w:r w:rsidRPr="00384EC0">
        <w:t>The instructor will try to reply to inquiries from students within two business days. Please ensure that you include the course name and code in the email subject (e.g.</w:t>
      </w:r>
    </w:p>
    <w:p w14:paraId="24155CA2" w14:textId="77777777" w:rsidR="000F5E12" w:rsidRDefault="000F5E12" w:rsidP="000F5E12">
      <w:pPr>
        <w:ind w:firstLine="720"/>
        <w:jc w:val="both"/>
      </w:pPr>
      <w:r>
        <w:t>ECDEV 606</w:t>
      </w:r>
      <w:r w:rsidRPr="00384EC0">
        <w:t>) and be sure to include your name.</w:t>
      </w:r>
    </w:p>
    <w:p w14:paraId="628F753C" w14:textId="77777777" w:rsidR="000F5E12" w:rsidRPr="00384EC0" w:rsidRDefault="000F5E12" w:rsidP="000F5E12">
      <w:pPr>
        <w:pStyle w:val="ListParagraph"/>
        <w:numPr>
          <w:ilvl w:val="0"/>
          <w:numId w:val="4"/>
        </w:numPr>
        <w:jc w:val="both"/>
      </w:pPr>
      <w:r w:rsidRPr="00384EC0">
        <w:t>Make sure you consult the course outline/syllabus, LEARN and other course materials</w:t>
      </w:r>
    </w:p>
    <w:p w14:paraId="34917C74" w14:textId="77777777" w:rsidR="000F5E12" w:rsidRPr="00384EC0" w:rsidRDefault="000F5E12" w:rsidP="000F5E12">
      <w:pPr>
        <w:ind w:left="720"/>
        <w:jc w:val="both"/>
      </w:pPr>
      <w:r w:rsidRPr="00384EC0">
        <w:t xml:space="preserve">before submitting inquiries through LEARN. The instructor </w:t>
      </w:r>
      <w:r>
        <w:t>may</w:t>
      </w:r>
      <w:r w:rsidRPr="00384EC0">
        <w:t xml:space="preserve"> not respond to any requests or messages sent via personal e</w:t>
      </w:r>
      <w:r>
        <w:t>-</w:t>
      </w:r>
      <w:r w:rsidRPr="00384EC0">
        <w:t>mail accounts or social media. Queries made near the due dates of assignments or tests may not be answered.</w:t>
      </w:r>
    </w:p>
    <w:p w14:paraId="4C603912" w14:textId="77777777" w:rsidR="000F5E12" w:rsidRPr="00384EC0" w:rsidRDefault="000F5E12" w:rsidP="000F5E12">
      <w:pPr>
        <w:pStyle w:val="ListParagraph"/>
        <w:numPr>
          <w:ilvl w:val="0"/>
          <w:numId w:val="5"/>
        </w:numPr>
        <w:jc w:val="both"/>
      </w:pPr>
      <w:r w:rsidRPr="00384EC0">
        <w:lastRenderedPageBreak/>
        <w:t>Laptops, smart phones and tablets are permitted in class for course-related</w:t>
      </w:r>
      <w:r>
        <w:t xml:space="preserve"> </w:t>
      </w:r>
      <w:r w:rsidRPr="00384EC0">
        <w:t xml:space="preserve">purposes only. </w:t>
      </w:r>
      <w:r>
        <w:t>Students</w:t>
      </w:r>
      <w:r w:rsidRPr="00384EC0">
        <w:t xml:space="preserve"> found accessing the </w:t>
      </w:r>
      <w:r>
        <w:t>I</w:t>
      </w:r>
      <w:r w:rsidRPr="00384EC0">
        <w:t>nternet for other purposes (e.g. checking e</w:t>
      </w:r>
      <w:r>
        <w:t>-</w:t>
      </w:r>
      <w:r w:rsidRPr="00384EC0">
        <w:t xml:space="preserve">mail, chatting, social media, </w:t>
      </w:r>
      <w:r>
        <w:t xml:space="preserve">visiting </w:t>
      </w:r>
      <w:r w:rsidRPr="00384EC0">
        <w:t xml:space="preserve">non-course sites, playing online games, etc.) or using laptops offline for non-course purposes (e.g. games, movies, music) </w:t>
      </w:r>
      <w:r>
        <w:t>may</w:t>
      </w:r>
      <w:r w:rsidRPr="00384EC0">
        <w:t xml:space="preserve"> be asked to leave the class.</w:t>
      </w:r>
    </w:p>
    <w:p w14:paraId="227A3398" w14:textId="77777777" w:rsidR="000F5E12" w:rsidRDefault="000F5E12" w:rsidP="000F5E12">
      <w:pPr>
        <w:pStyle w:val="ListParagraph"/>
        <w:numPr>
          <w:ilvl w:val="0"/>
          <w:numId w:val="5"/>
        </w:numPr>
        <w:jc w:val="both"/>
      </w:pPr>
      <w:r w:rsidRPr="00384EC0">
        <w:t>Devices should be silent in</w:t>
      </w:r>
      <w:r>
        <w:t xml:space="preserve"> </w:t>
      </w:r>
      <w:r w:rsidRPr="00384EC0">
        <w:t>class.</w:t>
      </w:r>
    </w:p>
    <w:p w14:paraId="451A0FB5" w14:textId="77777777" w:rsidR="000F5E12" w:rsidRPr="002A3689" w:rsidRDefault="000F5E12" w:rsidP="000F5E12">
      <w:pPr>
        <w:jc w:val="both"/>
      </w:pPr>
    </w:p>
    <w:p w14:paraId="13D96328" w14:textId="77777777" w:rsidR="000F5E12" w:rsidRPr="006114AF" w:rsidRDefault="000F5E12" w:rsidP="000F5E12">
      <w:pPr>
        <w:jc w:val="center"/>
        <w:outlineLvl w:val="0"/>
        <w:rPr>
          <w:b/>
          <w:sz w:val="28"/>
          <w:szCs w:val="28"/>
        </w:rPr>
      </w:pPr>
      <w:r w:rsidRPr="006114AF">
        <w:rPr>
          <w:b/>
          <w:sz w:val="28"/>
          <w:szCs w:val="28"/>
        </w:rPr>
        <w:t>University Academic Policies</w:t>
      </w:r>
    </w:p>
    <w:p w14:paraId="15BDA530" w14:textId="77777777" w:rsidR="000F5E12" w:rsidRDefault="000F5E12" w:rsidP="000F5E12">
      <w:pPr>
        <w:jc w:val="both"/>
      </w:pPr>
    </w:p>
    <w:p w14:paraId="2776E9FF" w14:textId="77777777" w:rsidR="000F5E12" w:rsidRPr="004D3BF8" w:rsidRDefault="000F5E12" w:rsidP="000F5E12">
      <w:pPr>
        <w:jc w:val="both"/>
        <w:rPr>
          <w:b/>
        </w:rPr>
      </w:pPr>
      <w:r w:rsidRPr="00D96346">
        <w:rPr>
          <w:b/>
        </w:rPr>
        <w:t>INTELLECTUAL PROPERTY</w:t>
      </w:r>
      <w:r>
        <w:rPr>
          <w:b/>
        </w:rPr>
        <w:t xml:space="preserve">: </w:t>
      </w:r>
      <w:r>
        <w:t>Students should be aware that this course contains the intellectual property of their instructor and/or the University of Waterloo. Intellectual property includes items such as:</w:t>
      </w:r>
    </w:p>
    <w:p w14:paraId="17FBA106" w14:textId="77777777" w:rsidR="000F5E12" w:rsidRDefault="000F5E12" w:rsidP="000F5E12">
      <w:pPr>
        <w:pStyle w:val="ListParagraph"/>
        <w:numPr>
          <w:ilvl w:val="0"/>
          <w:numId w:val="17"/>
        </w:numPr>
        <w:jc w:val="both"/>
      </w:pPr>
      <w:r>
        <w:t>Lecture content, spoken and written (and any audio/video recording thereof)</w:t>
      </w:r>
    </w:p>
    <w:p w14:paraId="2B5D1E4D" w14:textId="77777777" w:rsidR="000F5E12" w:rsidRDefault="000F5E12" w:rsidP="000F5E12">
      <w:pPr>
        <w:pStyle w:val="ListParagraph"/>
        <w:numPr>
          <w:ilvl w:val="0"/>
          <w:numId w:val="17"/>
        </w:numPr>
        <w:jc w:val="both"/>
      </w:pPr>
      <w:r>
        <w:t>Lecture handouts, presentations, and other materials prepared for the course (e.g. PowerPoint slides)</w:t>
      </w:r>
    </w:p>
    <w:p w14:paraId="2E602F83" w14:textId="77777777" w:rsidR="000F5E12" w:rsidRDefault="000F5E12" w:rsidP="000F5E12">
      <w:pPr>
        <w:pStyle w:val="ListParagraph"/>
        <w:numPr>
          <w:ilvl w:val="0"/>
          <w:numId w:val="17"/>
        </w:numPr>
        <w:jc w:val="both"/>
      </w:pPr>
      <w:r>
        <w:t>Questions or solution sets from various types of assessments (e.g. assignments, quizzes, tests, final exams)</w:t>
      </w:r>
    </w:p>
    <w:p w14:paraId="3B0B8FA1" w14:textId="77777777" w:rsidR="000F5E12" w:rsidRDefault="000F5E12" w:rsidP="000F5E12">
      <w:pPr>
        <w:pStyle w:val="ListParagraph"/>
        <w:numPr>
          <w:ilvl w:val="0"/>
          <w:numId w:val="17"/>
        </w:numPr>
        <w:jc w:val="both"/>
      </w:pPr>
      <w:r>
        <w:t>Work protected by copyright (e.g. any work authored by the instructor or used by the instructor with permission of the copyright owner).</w:t>
      </w:r>
    </w:p>
    <w:p w14:paraId="4591E190" w14:textId="77777777" w:rsidR="000F5E12" w:rsidRDefault="000F5E12" w:rsidP="000F5E12">
      <w:pPr>
        <w:jc w:val="both"/>
      </w:pPr>
    </w:p>
    <w:p w14:paraId="0887357F" w14:textId="77777777" w:rsidR="000F5E12" w:rsidRDefault="000F5E12" w:rsidP="000F5E12">
      <w:pPr>
        <w:jc w:val="both"/>
      </w:pPr>
      <w:r>
        <w:t>Course materials and the intellectual property contained therein are used to enhance a student’s educational experience. However, sharing this intellectual property without the intellectual property owner’s permission is a violation of intellectual property rights. For this reason, it is necessary to ask the instructor and/or the University of Waterloo for permission before uploading and sharing the intellectual property of others online (e.g. to an online repository).</w:t>
      </w:r>
    </w:p>
    <w:p w14:paraId="461BF6FE" w14:textId="77777777" w:rsidR="000F5E12" w:rsidRDefault="000F5E12" w:rsidP="000F5E12">
      <w:pPr>
        <w:jc w:val="both"/>
      </w:pPr>
    </w:p>
    <w:p w14:paraId="39DF4E68" w14:textId="77777777" w:rsidR="000F5E12" w:rsidRDefault="000F5E12" w:rsidP="000F5E12">
      <w:pPr>
        <w:jc w:val="both"/>
      </w:pPr>
      <w:r>
        <w:t>Permission from an instructor or the University is also necessary before sharing the intellectual property of others from completed courses with students taking the same/similar courses in subsequent terms/years. In many cases, instructors might be happy to allow distribution of certain materials. However, doing so without express permission may be considered a violation of intellectual property rights.</w:t>
      </w:r>
    </w:p>
    <w:p w14:paraId="46CFC758" w14:textId="77777777" w:rsidR="000F5E12" w:rsidRDefault="000F5E12" w:rsidP="000F5E12">
      <w:pPr>
        <w:jc w:val="both"/>
      </w:pPr>
    </w:p>
    <w:p w14:paraId="2C1F5376" w14:textId="77777777" w:rsidR="000F5E12" w:rsidRDefault="000F5E12" w:rsidP="000F5E12">
      <w:pPr>
        <w:jc w:val="both"/>
      </w:pPr>
      <w:r>
        <w:t>Please alert the instructor if you become aware of intellectual property belonging to others (past or present) circulating, either through the student body or online. The intellectual property rights owner deserves to know (and may have already given their consent).</w:t>
      </w:r>
    </w:p>
    <w:p w14:paraId="48D19D33" w14:textId="77777777" w:rsidR="000F5E12" w:rsidRDefault="000F5E12" w:rsidP="000F5E12">
      <w:pPr>
        <w:jc w:val="both"/>
      </w:pPr>
    </w:p>
    <w:p w14:paraId="2C88845F" w14:textId="77777777" w:rsidR="000F5E12" w:rsidRPr="0076778E" w:rsidRDefault="000F5E12" w:rsidP="000F5E12">
      <w:pPr>
        <w:jc w:val="both"/>
      </w:pPr>
      <w:r w:rsidRPr="006114AF">
        <w:rPr>
          <w:b/>
        </w:rPr>
        <w:t>ACADEMIC INTEGRITY:</w:t>
      </w:r>
      <w:r w:rsidRPr="004C169A">
        <w:t xml:space="preserve"> </w:t>
      </w:r>
      <w:r w:rsidRPr="0076778E">
        <w:t xml:space="preserve">In order to maintain a culture of academic integrity, members of the University of Waterloo community are expected to promote honesty, trust, fairness, respect and responsibility. The University’s guiding principles on academic integrity can be found here: </w:t>
      </w:r>
      <w:hyperlink r:id="rId10" w:history="1">
        <w:r w:rsidRPr="00D66799">
          <w:rPr>
            <w:rStyle w:val="Hyperlink"/>
          </w:rPr>
          <w:t>http://uwaterloo.ca/academicintegrity/</w:t>
        </w:r>
      </w:hyperlink>
      <w:r>
        <w:t xml:space="preserve"> </w:t>
      </w:r>
    </w:p>
    <w:p w14:paraId="0C4AF7FF" w14:textId="77777777" w:rsidR="000F5E12" w:rsidRPr="0076778E" w:rsidRDefault="000F5E12" w:rsidP="000F5E12">
      <w:pPr>
        <w:jc w:val="both"/>
      </w:pPr>
    </w:p>
    <w:p w14:paraId="3318B00E" w14:textId="77777777" w:rsidR="000F5E12" w:rsidRDefault="000F5E12" w:rsidP="000F5E12">
      <w:r w:rsidRPr="0076778E">
        <w:lastRenderedPageBreak/>
        <w:t xml:space="preserve">ENV students are strongly encouraged to review the material provided by the university’s Academic Integrity office specifically for students: </w:t>
      </w:r>
      <w:hyperlink r:id="rId11" w:history="1">
        <w:r w:rsidRPr="00D66799">
          <w:rPr>
            <w:rStyle w:val="Hyperlink"/>
          </w:rPr>
          <w:t>http://uwaterloo.ca/academicintegrity/Students/index.html</w:t>
        </w:r>
      </w:hyperlink>
    </w:p>
    <w:p w14:paraId="5526C853" w14:textId="77777777" w:rsidR="000F5E12" w:rsidRPr="0076778E" w:rsidRDefault="000F5E12" w:rsidP="000F5E12">
      <w:pPr>
        <w:jc w:val="both"/>
      </w:pPr>
    </w:p>
    <w:p w14:paraId="4BDFFDAE" w14:textId="77777777" w:rsidR="000F5E12" w:rsidRDefault="000F5E12" w:rsidP="000F5E12">
      <w:pPr>
        <w:jc w:val="both"/>
      </w:pPr>
      <w:r w:rsidRPr="0076778E">
        <w:t>Students are also expected to know what constitutes academic integrity, to avoid committing academic offenses, and to take responsibility for their actions. Student</w:t>
      </w:r>
      <w:r>
        <w:t>s</w:t>
      </w:r>
      <w:r w:rsidRPr="0076778E">
        <w:t xml:space="preserve"> who are unsure whether an action constitutes an offense, or who need help in learning how to avoid offenses (e.g. plagiarism, cheating) or about “rules” for group work/collaboration should seek guidance from the course professor, academic advisor, or the Undergraduate Associate Dean. Studen</w:t>
      </w:r>
      <w:r>
        <w:t xml:space="preserve">ts may also visit this webpage: </w:t>
      </w:r>
      <w:hyperlink r:id="rId12" w:history="1">
        <w:r w:rsidRPr="00D66799">
          <w:rPr>
            <w:rStyle w:val="Hyperlink"/>
          </w:rPr>
          <w:t>https://uwaterloo.ca/library/get-assignment-and-research-help/academic-integrity/academicintegrity-tutorial</w:t>
        </w:r>
      </w:hyperlink>
    </w:p>
    <w:p w14:paraId="6B13DAC5" w14:textId="77777777" w:rsidR="000F5E12" w:rsidRPr="0076778E" w:rsidRDefault="000F5E12" w:rsidP="000F5E12">
      <w:pPr>
        <w:jc w:val="both"/>
      </w:pPr>
    </w:p>
    <w:p w14:paraId="73BC9A3F" w14:textId="77777777" w:rsidR="000F5E12" w:rsidRPr="0076778E" w:rsidRDefault="000F5E12" w:rsidP="000F5E12">
      <w:pPr>
        <w:jc w:val="both"/>
      </w:pPr>
      <w:r w:rsidRPr="0076778E">
        <w:t xml:space="preserve">When misconduct has been found to have occurred, disciplinary penalties will be imposed under </w:t>
      </w:r>
      <w:r w:rsidRPr="00C939E5">
        <w:rPr>
          <w:b/>
        </w:rPr>
        <w:t>Policy 71 – Student Discipline</w:t>
      </w:r>
      <w:r w:rsidRPr="0076778E">
        <w:t>. For information on categories of offenses and types of penalties, students should refer to Policy 71 - Student Discipline</w:t>
      </w:r>
      <w:r>
        <w:t>:</w:t>
      </w:r>
    </w:p>
    <w:p w14:paraId="25764545" w14:textId="77777777" w:rsidR="000F5E12" w:rsidRDefault="000F5E12" w:rsidP="000F5E12">
      <w:hyperlink r:id="rId13" w:history="1">
        <w:r w:rsidRPr="00D66799">
          <w:rPr>
            <w:rStyle w:val="Hyperlink"/>
          </w:rPr>
          <w:t>https://uwaterloo.ca/secretariat-general-counsel/policies-procedures-guidelines/policy-71</w:t>
        </w:r>
      </w:hyperlink>
    </w:p>
    <w:p w14:paraId="454C2E93" w14:textId="77777777" w:rsidR="000F5E12" w:rsidRDefault="000F5E12" w:rsidP="000F5E12">
      <w:pPr>
        <w:rPr>
          <w:b/>
        </w:rPr>
      </w:pPr>
    </w:p>
    <w:p w14:paraId="16A39452" w14:textId="77777777" w:rsidR="000F5E12" w:rsidRDefault="000F5E12" w:rsidP="000F5E12">
      <w:r w:rsidRPr="00D96346">
        <w:rPr>
          <w:b/>
        </w:rPr>
        <w:t>GRIEVANCE</w:t>
      </w:r>
      <w:r w:rsidRPr="00D96346">
        <w:t xml:space="preserve">: A student who believes that a decision affecting some aspect of his/her university life has been unfair or unreasonable may have grounds for initiating a grievance. See </w:t>
      </w:r>
      <w:r w:rsidRPr="00D96346">
        <w:rPr>
          <w:b/>
        </w:rPr>
        <w:t>Policy 70 - Student Petitions and Grievances, Section 4</w:t>
      </w:r>
      <w:r>
        <w:t xml:space="preserve">: </w:t>
      </w:r>
      <w:hyperlink r:id="rId14" w:history="1">
        <w:r w:rsidRPr="004C510E">
          <w:rPr>
            <w:rStyle w:val="Hyperlink"/>
          </w:rPr>
          <w:t>www.adm.uwaterloo.ca/infosec/Policies/policy70.htm</w:t>
        </w:r>
      </w:hyperlink>
      <w:r>
        <w:t xml:space="preserve"> </w:t>
      </w:r>
    </w:p>
    <w:p w14:paraId="1C7DDC3E" w14:textId="77777777" w:rsidR="000F5E12" w:rsidRDefault="000F5E12" w:rsidP="000F5E12">
      <w:r w:rsidRPr="00D96346">
        <w:t>When in doubt please contact your Undergraduate Advisor for details.</w:t>
      </w:r>
    </w:p>
    <w:p w14:paraId="2376F0D2" w14:textId="77777777" w:rsidR="000F5E12" w:rsidRPr="00D96346" w:rsidRDefault="000F5E12" w:rsidP="000F5E12"/>
    <w:p w14:paraId="250167E8" w14:textId="77777777" w:rsidR="000F5E12" w:rsidRPr="00D96346" w:rsidRDefault="000F5E12" w:rsidP="000F5E12">
      <w:pPr>
        <w:jc w:val="both"/>
      </w:pPr>
      <w:r w:rsidRPr="00D96346">
        <w:rPr>
          <w:b/>
        </w:rPr>
        <w:t>APPEALS</w:t>
      </w:r>
      <w:r w:rsidRPr="00D96346">
        <w:t xml:space="preserve">: A decision </w:t>
      </w:r>
      <w:proofErr w:type="gramStart"/>
      <w:r w:rsidRPr="00D96346">
        <w:t>made</w:t>
      </w:r>
      <w:proofErr w:type="gramEnd"/>
      <w:r w:rsidRPr="00D96346">
        <w:t xml:space="preserve"> or penalty imposed under </w:t>
      </w:r>
      <w:r w:rsidRPr="00D96346">
        <w:rPr>
          <w:b/>
        </w:rPr>
        <w:t>Policy 70</w:t>
      </w:r>
      <w:r w:rsidRPr="00D96346">
        <w:t xml:space="preserve"> - Student Petitions and Grievances (other than a petition) or </w:t>
      </w:r>
      <w:r w:rsidRPr="00D96346">
        <w:rPr>
          <w:b/>
        </w:rPr>
        <w:t>Policy 71</w:t>
      </w:r>
      <w:r w:rsidRPr="00D96346">
        <w:t xml:space="preserve"> – (Student Discipline) may be appealed if there is a ground. A student who believes he/she has a ground for an appeal should refer to </w:t>
      </w:r>
      <w:r w:rsidRPr="00D96346">
        <w:rPr>
          <w:b/>
        </w:rPr>
        <w:t>Policy 72</w:t>
      </w:r>
      <w:r w:rsidRPr="00D96346">
        <w:t xml:space="preserve"> (Student Appeals) </w:t>
      </w:r>
      <w:hyperlink r:id="rId15" w:history="1">
        <w:r w:rsidRPr="007C4AB2">
          <w:rPr>
            <w:rStyle w:val="Hyperlink"/>
          </w:rPr>
          <w:t>www.adm.uwaterloo.ca/infosec/Policies/policy72.htm</w:t>
        </w:r>
      </w:hyperlink>
      <w:r>
        <w:t xml:space="preserve"> </w:t>
      </w:r>
    </w:p>
    <w:p w14:paraId="41FBEAED" w14:textId="77777777" w:rsidR="000F5E12" w:rsidRDefault="000F5E12" w:rsidP="000F5E12"/>
    <w:p w14:paraId="7870500C" w14:textId="77777777" w:rsidR="000F5E12" w:rsidRPr="004C169A" w:rsidRDefault="000F5E12" w:rsidP="000F5E12">
      <w:pPr>
        <w:jc w:val="both"/>
      </w:pPr>
      <w:r w:rsidRPr="001A0B4D">
        <w:rPr>
          <w:b/>
        </w:rPr>
        <w:t>RESEARCH ETHICS</w:t>
      </w:r>
      <w:r w:rsidRPr="001A0B4D">
        <w:t>: Please</w:t>
      </w:r>
      <w:r w:rsidRPr="004C169A">
        <w:t xml:space="preserve"> also note that the ‘University of Waterloo requires all research conducted by its students, staff, and faculty which involves humans as participants to undergo prior ethics review and clearance through the Director, Office of Human Research and Animal Care (Office). The ethics review and clearance processes are intended to ensure that projects comply with the Office’s Guidelines for Research with Human Participants (Guidelines) as well as those of provincial and federal agencies, and that the safety, rights and welfare of participants are adequately protected. The Guidelines inform researchers about ethical issues and procedures which are of concern when conducting research with humans (e.g. confidentiality, risks and benefits, informed consent process, etc.)’</w:t>
      </w:r>
      <w:r>
        <w:t>.</w:t>
      </w:r>
      <w:r w:rsidRPr="004C169A">
        <w:t xml:space="preserve"> (</w:t>
      </w:r>
      <w:hyperlink r:id="rId16" w:history="1">
        <w:r w:rsidRPr="00007969">
          <w:rPr>
            <w:rStyle w:val="Hyperlink"/>
          </w:rPr>
          <w:t>http://www.research.uwaterloo.ca/ethics/human/</w:t>
        </w:r>
      </w:hyperlink>
      <w:r>
        <w:t xml:space="preserve"> </w:t>
      </w:r>
      <w:r w:rsidRPr="004C169A">
        <w:t xml:space="preserve">). </w:t>
      </w:r>
    </w:p>
    <w:p w14:paraId="07BBE748" w14:textId="77777777" w:rsidR="000F5E12" w:rsidRPr="004C169A" w:rsidRDefault="000F5E12" w:rsidP="000F5E12"/>
    <w:p w14:paraId="4EA45FA4" w14:textId="77777777" w:rsidR="000F5E12" w:rsidRDefault="000F5E12" w:rsidP="000F5E12">
      <w:pPr>
        <w:jc w:val="both"/>
      </w:pPr>
      <w:r w:rsidRPr="00C939E5">
        <w:rPr>
          <w:b/>
        </w:rPr>
        <w:t>NOTE FOR STUDENTS WITH DISABILITIES:</w:t>
      </w:r>
      <w:r w:rsidRPr="004C169A">
        <w:t xml:space="preserve"> </w:t>
      </w:r>
      <w:proofErr w:type="spellStart"/>
      <w:r w:rsidRPr="007746B2">
        <w:t>AccessAbility</w:t>
      </w:r>
      <w:proofErr w:type="spellEnd"/>
      <w:r w:rsidRPr="007746B2">
        <w:t xml:space="preserve"> Services</w:t>
      </w:r>
      <w:r>
        <w:t>,</w:t>
      </w:r>
      <w:r w:rsidRPr="007746B2">
        <w:t xml:space="preserve"> located in Needles</w:t>
      </w:r>
      <w:r>
        <w:t xml:space="preserve"> </w:t>
      </w:r>
      <w:r w:rsidRPr="007746B2">
        <w:t xml:space="preserve">Hall, Room 1401, </w:t>
      </w:r>
      <w:r>
        <w:t>(</w:t>
      </w:r>
      <w:hyperlink r:id="rId17" w:history="1">
        <w:r w:rsidRPr="00D66799">
          <w:rPr>
            <w:rStyle w:val="Hyperlink"/>
          </w:rPr>
          <w:t>https://uwaterloo.ca/accessability-services/</w:t>
        </w:r>
      </w:hyperlink>
      <w:r>
        <w:t xml:space="preserve"> )</w:t>
      </w:r>
      <w:r w:rsidRPr="007746B2">
        <w:t xml:space="preserve"> collaborates with all </w:t>
      </w:r>
      <w:r>
        <w:t xml:space="preserve">academic departments to arrange </w:t>
      </w:r>
      <w:r w:rsidRPr="007746B2">
        <w:t>appropriate accommodations for students with disabilities without</w:t>
      </w:r>
      <w:r>
        <w:t xml:space="preserve"> </w:t>
      </w:r>
      <w:r w:rsidRPr="007746B2">
        <w:t>compromising the academic integrity of the curriculum. If you require academic</w:t>
      </w:r>
      <w:r>
        <w:t xml:space="preserve"> </w:t>
      </w:r>
      <w:r w:rsidRPr="007746B2">
        <w:t>accommodations to lessen the impact of your disability, please register</w:t>
      </w:r>
      <w:r>
        <w:t xml:space="preserve"> </w:t>
      </w:r>
      <w:r w:rsidRPr="007746B2">
        <w:t xml:space="preserve">with </w:t>
      </w:r>
      <w:proofErr w:type="spellStart"/>
      <w:r w:rsidRPr="007746B2">
        <w:t>AccessAbility</w:t>
      </w:r>
      <w:proofErr w:type="spellEnd"/>
      <w:r w:rsidRPr="007746B2">
        <w:t xml:space="preserve"> Services at the beginning of each academic term.</w:t>
      </w:r>
      <w:bookmarkStart w:id="0" w:name="_GoBack"/>
      <w:bookmarkEnd w:id="0"/>
    </w:p>
    <w:p w14:paraId="12F5F00C" w14:textId="77777777" w:rsidR="000F5E12" w:rsidRDefault="000F5E12" w:rsidP="000F5E12">
      <w:pPr>
        <w:jc w:val="both"/>
      </w:pPr>
    </w:p>
    <w:p w14:paraId="0006AB32" w14:textId="77777777" w:rsidR="000F5E12" w:rsidRPr="004C169A" w:rsidRDefault="000F5E12" w:rsidP="000F5E12">
      <w:pPr>
        <w:jc w:val="both"/>
      </w:pPr>
      <w:r w:rsidRPr="00C939E5">
        <w:rPr>
          <w:b/>
        </w:rPr>
        <w:t>MENTAL HEALTH</w:t>
      </w:r>
      <w:r>
        <w:t xml:space="preserve">: </w:t>
      </w:r>
      <w:r w:rsidRPr="00C939E5">
        <w:t xml:space="preserve">The University of Waterloo, the Faculty of Environment and our Departments consider students' well-being to be extremely important. We recognize that throughout the term students may face health challenges - physical and / or emotional. </w:t>
      </w:r>
      <w:r w:rsidRPr="004D3BF8">
        <w:rPr>
          <w:b/>
        </w:rPr>
        <w:t xml:space="preserve">Please note that help is available. </w:t>
      </w:r>
      <w:r w:rsidRPr="00C939E5">
        <w:t>Mental health is a serious issue for everyone and can affect your ability to do your b</w:t>
      </w:r>
      <w:r>
        <w:t>est work. Counselling Services</w:t>
      </w:r>
      <w:r w:rsidRPr="00C939E5">
        <w:t xml:space="preserve"> </w:t>
      </w:r>
      <w:hyperlink r:id="rId18" w:history="1">
        <w:r w:rsidRPr="00D66799">
          <w:rPr>
            <w:rStyle w:val="Hyperlink"/>
          </w:rPr>
          <w:t>http://www.uwaterloo.ca/counselling-services</w:t>
        </w:r>
      </w:hyperlink>
      <w:r>
        <w:t xml:space="preserve"> </w:t>
      </w:r>
      <w:r w:rsidRPr="00C939E5">
        <w:t xml:space="preserve">is an inclusive, non-judgmental, and confidential space for anyone to seek support. They offer confidential counselling for a variety of areas including anxiety, stress management, depression, grief, substance use, sexuality, relationship issues, and much more. </w:t>
      </w:r>
    </w:p>
    <w:p w14:paraId="1AE23E6F" w14:textId="77777777" w:rsidR="000F5E12" w:rsidRDefault="000F5E12" w:rsidP="000F5E12"/>
    <w:p w14:paraId="7481F4AD" w14:textId="77777777" w:rsidR="000F5E12" w:rsidRPr="004C169A" w:rsidRDefault="000F5E12" w:rsidP="000F5E12">
      <w:r w:rsidRPr="006114AF">
        <w:rPr>
          <w:b/>
        </w:rPr>
        <w:t>RELIGIOUS OBSERVANCES</w:t>
      </w:r>
      <w:r w:rsidRPr="004C169A">
        <w:t>: Please inform the instructor at the beginning of term if special accommodation needs to be made for religious observances that are not otherwise accounted for in the scheduling of classes and assignments.</w:t>
      </w:r>
    </w:p>
    <w:p w14:paraId="38947BD9" w14:textId="77777777" w:rsidR="000F5E12" w:rsidRPr="004C169A" w:rsidRDefault="000F5E12" w:rsidP="000F5E12"/>
    <w:p w14:paraId="335FF5FF" w14:textId="77777777" w:rsidR="000F5E12" w:rsidRDefault="000F5E12" w:rsidP="000F5E12">
      <w:pPr>
        <w:rPr>
          <w:rFonts w:ascii="Times" w:hAnsi="Times" w:cs="Times"/>
          <w:lang w:val="en-US"/>
        </w:rPr>
      </w:pPr>
      <w:r>
        <w:rPr>
          <w:rFonts w:ascii="Times" w:hAnsi="Times" w:cs="Times"/>
          <w:lang w:val="en-US"/>
        </w:rPr>
        <w:br w:type="page"/>
      </w:r>
    </w:p>
    <w:p w14:paraId="036CFA07" w14:textId="77777777" w:rsidR="000F5E12" w:rsidRDefault="000F5E12" w:rsidP="000F5E12"/>
    <w:p w14:paraId="06C08F7A" w14:textId="77777777" w:rsidR="000F5E12" w:rsidRPr="00407B18" w:rsidRDefault="000F5E12" w:rsidP="000F5E12">
      <w:pPr>
        <w:jc w:val="center"/>
        <w:rPr>
          <w:b/>
          <w:sz w:val="32"/>
        </w:rPr>
      </w:pPr>
      <w:r>
        <w:rPr>
          <w:b/>
          <w:sz w:val="32"/>
        </w:rPr>
        <w:t>ECDEV 606</w:t>
      </w:r>
    </w:p>
    <w:p w14:paraId="244CDFE3" w14:textId="77777777" w:rsidR="000F5E12" w:rsidRPr="00407B18" w:rsidRDefault="000F5E12" w:rsidP="000F5E12">
      <w:pPr>
        <w:jc w:val="center"/>
        <w:rPr>
          <w:b/>
          <w:sz w:val="32"/>
        </w:rPr>
      </w:pPr>
      <w:r w:rsidRPr="00407B18">
        <w:rPr>
          <w:b/>
          <w:sz w:val="32"/>
        </w:rPr>
        <w:t>Schedule &amp; Summary of Topics</w:t>
      </w:r>
    </w:p>
    <w:p w14:paraId="3435D385" w14:textId="77777777" w:rsidR="000F5E12" w:rsidRDefault="000F5E12" w:rsidP="000F5E12"/>
    <w:p w14:paraId="100056CF" w14:textId="77777777" w:rsidR="000F5E12" w:rsidRDefault="000F5E12" w:rsidP="000F5E12"/>
    <w:p w14:paraId="780EED3B" w14:textId="77777777" w:rsidR="000F5E12" w:rsidRPr="00407B18" w:rsidRDefault="000F5E12" w:rsidP="000F5E12">
      <w:pPr>
        <w:spacing w:line="276" w:lineRule="auto"/>
        <w:rPr>
          <w:b/>
          <w:sz w:val="28"/>
        </w:rPr>
      </w:pPr>
      <w:r w:rsidRPr="00407B18">
        <w:rPr>
          <w:b/>
          <w:sz w:val="28"/>
        </w:rPr>
        <w:t>Part I</w:t>
      </w:r>
      <w:r w:rsidRPr="00407B18">
        <w:rPr>
          <w:b/>
          <w:sz w:val="28"/>
        </w:rPr>
        <w:tab/>
      </w:r>
      <w:r w:rsidRPr="00407B18">
        <w:rPr>
          <w:b/>
          <w:sz w:val="28"/>
        </w:rPr>
        <w:tab/>
      </w:r>
      <w:r w:rsidRPr="00407B18">
        <w:rPr>
          <w:b/>
          <w:sz w:val="28"/>
        </w:rPr>
        <w:tab/>
        <w:t>Introduction</w:t>
      </w:r>
      <w:r>
        <w:rPr>
          <w:b/>
          <w:sz w:val="28"/>
        </w:rPr>
        <w:t xml:space="preserve"> &amp; Foundations</w:t>
      </w:r>
    </w:p>
    <w:p w14:paraId="6FAFECD0" w14:textId="77777777" w:rsidR="000F5E12" w:rsidRDefault="000F5E12" w:rsidP="000F5E12">
      <w:r>
        <w:t>January 7</w:t>
      </w:r>
      <w:r>
        <w:tab/>
      </w:r>
      <w:r>
        <w:tab/>
        <w:t>Introductions &amp; Overview of Course</w:t>
      </w:r>
    </w:p>
    <w:p w14:paraId="4B1CD57B" w14:textId="77777777" w:rsidR="000F5E12" w:rsidRDefault="000F5E12" w:rsidP="000F5E12">
      <w:r>
        <w:t>January 14</w:t>
      </w:r>
      <w:r>
        <w:tab/>
      </w:r>
      <w:r>
        <w:tab/>
        <w:t>Innovation &amp; Economic Development: Intellectual Traditions &amp; Key Ideas</w:t>
      </w:r>
    </w:p>
    <w:p w14:paraId="2C36BB82" w14:textId="77777777" w:rsidR="000F5E12" w:rsidRDefault="000F5E12" w:rsidP="000F5E12">
      <w:r>
        <w:t>January 21</w:t>
      </w:r>
      <w:r>
        <w:tab/>
      </w:r>
      <w:r>
        <w:tab/>
        <w:t>Innovation, Cities &amp; Regions</w:t>
      </w:r>
    </w:p>
    <w:p w14:paraId="4AC42C50" w14:textId="77777777" w:rsidR="000F5E12" w:rsidRDefault="000F5E12" w:rsidP="000F5E12"/>
    <w:p w14:paraId="62E4DAD8" w14:textId="77777777" w:rsidR="000F5E12" w:rsidRPr="00407B18" w:rsidRDefault="000F5E12" w:rsidP="000F5E12">
      <w:pPr>
        <w:spacing w:line="276" w:lineRule="auto"/>
        <w:rPr>
          <w:b/>
          <w:sz w:val="28"/>
        </w:rPr>
      </w:pPr>
      <w:r w:rsidRPr="00407B18">
        <w:rPr>
          <w:b/>
          <w:sz w:val="28"/>
        </w:rPr>
        <w:t>Part II</w:t>
      </w:r>
      <w:r w:rsidRPr="00407B18">
        <w:rPr>
          <w:b/>
          <w:sz w:val="28"/>
        </w:rPr>
        <w:tab/>
      </w:r>
      <w:r w:rsidRPr="00407B18">
        <w:rPr>
          <w:b/>
          <w:sz w:val="28"/>
        </w:rPr>
        <w:tab/>
      </w:r>
      <w:r w:rsidRPr="00407B18">
        <w:rPr>
          <w:b/>
          <w:sz w:val="28"/>
        </w:rPr>
        <w:tab/>
      </w:r>
      <w:r>
        <w:rPr>
          <w:b/>
          <w:sz w:val="28"/>
        </w:rPr>
        <w:t>Innovation in Cities &amp; Regions</w:t>
      </w:r>
    </w:p>
    <w:p w14:paraId="00AC6BE3" w14:textId="77777777" w:rsidR="000F5E12" w:rsidRDefault="000F5E12" w:rsidP="000F5E12">
      <w:pPr>
        <w:rPr>
          <w:b/>
        </w:rPr>
      </w:pPr>
      <w:r>
        <w:t>January 28</w:t>
      </w:r>
      <w:r>
        <w:tab/>
      </w:r>
      <w:r>
        <w:tab/>
        <w:t>Innovation Economies: Learning from Successes</w:t>
      </w:r>
    </w:p>
    <w:p w14:paraId="71B387A7" w14:textId="77777777" w:rsidR="000F5E12" w:rsidRDefault="000F5E12" w:rsidP="000F5E12">
      <w:r>
        <w:t>February 4</w:t>
      </w:r>
      <w:r>
        <w:tab/>
      </w:r>
      <w:r>
        <w:tab/>
        <w:t>Clusters, Industrial Districts &amp; Economic Hubs</w:t>
      </w:r>
    </w:p>
    <w:p w14:paraId="0F68079C" w14:textId="77777777" w:rsidR="000F5E12" w:rsidRDefault="000F5E12" w:rsidP="000F5E12">
      <w:r>
        <w:t>February 11</w:t>
      </w:r>
      <w:r>
        <w:tab/>
      </w:r>
      <w:r>
        <w:tab/>
        <w:t>Knowledge, Learning &amp; Networks</w:t>
      </w:r>
    </w:p>
    <w:p w14:paraId="24F8A6F1" w14:textId="77777777" w:rsidR="000F5E12" w:rsidRDefault="000F5E12" w:rsidP="000F5E12">
      <w:pPr>
        <w:rPr>
          <w:b/>
        </w:rPr>
      </w:pPr>
    </w:p>
    <w:p w14:paraId="72293906" w14:textId="77777777" w:rsidR="000F5E12" w:rsidRDefault="000F5E12" w:rsidP="000F5E12">
      <w:pPr>
        <w:rPr>
          <w:b/>
        </w:rPr>
      </w:pPr>
      <w:r>
        <w:rPr>
          <w:b/>
        </w:rPr>
        <w:t>February 18</w:t>
      </w:r>
      <w:r>
        <w:rPr>
          <w:b/>
        </w:rPr>
        <w:tab/>
      </w:r>
      <w:r>
        <w:rPr>
          <w:b/>
        </w:rPr>
        <w:tab/>
        <w:t>Reading Week</w:t>
      </w:r>
    </w:p>
    <w:p w14:paraId="327D9457" w14:textId="77777777" w:rsidR="000F5E12" w:rsidRPr="00951F6E" w:rsidRDefault="000F5E12" w:rsidP="000F5E12">
      <w:pPr>
        <w:rPr>
          <w:b/>
        </w:rPr>
      </w:pPr>
    </w:p>
    <w:p w14:paraId="16B09C82" w14:textId="77777777" w:rsidR="000F5E12" w:rsidRPr="00407B18" w:rsidRDefault="000F5E12" w:rsidP="000F5E12">
      <w:pPr>
        <w:spacing w:line="276" w:lineRule="auto"/>
        <w:rPr>
          <w:b/>
          <w:sz w:val="28"/>
        </w:rPr>
      </w:pPr>
      <w:r w:rsidRPr="00407B18">
        <w:rPr>
          <w:b/>
          <w:sz w:val="28"/>
        </w:rPr>
        <w:t>Part III</w:t>
      </w:r>
      <w:r>
        <w:rPr>
          <w:b/>
          <w:sz w:val="28"/>
        </w:rPr>
        <w:tab/>
      </w:r>
      <w:r>
        <w:rPr>
          <w:b/>
          <w:sz w:val="28"/>
        </w:rPr>
        <w:tab/>
      </w:r>
      <w:r w:rsidRPr="00407B18">
        <w:rPr>
          <w:b/>
          <w:sz w:val="28"/>
        </w:rPr>
        <w:t>Cr</w:t>
      </w:r>
      <w:r>
        <w:rPr>
          <w:b/>
          <w:sz w:val="28"/>
        </w:rPr>
        <w:t>eativity, Talent &amp; Inequality</w:t>
      </w:r>
    </w:p>
    <w:p w14:paraId="1070E4F9" w14:textId="77777777" w:rsidR="000F5E12" w:rsidRDefault="000F5E12" w:rsidP="000F5E12">
      <w:r>
        <w:t>February 25</w:t>
      </w:r>
      <w:r>
        <w:tab/>
      </w:r>
      <w:r>
        <w:tab/>
        <w:t>Talent, Skill &amp; the Creative Class</w:t>
      </w:r>
    </w:p>
    <w:p w14:paraId="560CCB58" w14:textId="77777777" w:rsidR="000F5E12" w:rsidRDefault="000F5E12" w:rsidP="000F5E12">
      <w:r>
        <w:t>March 3</w:t>
      </w:r>
      <w:r>
        <w:tab/>
      </w:r>
      <w:r>
        <w:tab/>
        <w:t>Workforce Development &amp; Innovation</w:t>
      </w:r>
    </w:p>
    <w:p w14:paraId="43E1D339" w14:textId="77777777" w:rsidR="000F5E12" w:rsidRDefault="000F5E12" w:rsidP="000F5E12">
      <w:r>
        <w:t>March 10</w:t>
      </w:r>
      <w:r>
        <w:tab/>
      </w:r>
      <w:r>
        <w:tab/>
        <w:t>Technology, Innovation &amp; Workforce</w:t>
      </w:r>
    </w:p>
    <w:p w14:paraId="49710CE5" w14:textId="77777777" w:rsidR="000F5E12" w:rsidRDefault="000F5E12" w:rsidP="000F5E12">
      <w:r>
        <w:t>March 17</w:t>
      </w:r>
      <w:r>
        <w:tab/>
      </w:r>
      <w:r>
        <w:tab/>
        <w:t>Innovation and its Discontents: Inequality &amp; Development</w:t>
      </w:r>
    </w:p>
    <w:p w14:paraId="11088935" w14:textId="77777777" w:rsidR="000F5E12" w:rsidRDefault="000F5E12" w:rsidP="000F5E12"/>
    <w:p w14:paraId="0F846BD5" w14:textId="77777777" w:rsidR="000F5E12" w:rsidRPr="00407B18" w:rsidRDefault="000F5E12" w:rsidP="000F5E12">
      <w:pPr>
        <w:spacing w:line="276" w:lineRule="auto"/>
        <w:rPr>
          <w:b/>
          <w:sz w:val="28"/>
        </w:rPr>
      </w:pPr>
      <w:r w:rsidRPr="00407B18">
        <w:rPr>
          <w:b/>
          <w:sz w:val="28"/>
        </w:rPr>
        <w:t>Part IV</w:t>
      </w:r>
      <w:r w:rsidRPr="00407B18">
        <w:rPr>
          <w:b/>
          <w:sz w:val="28"/>
        </w:rPr>
        <w:tab/>
      </w:r>
      <w:r>
        <w:rPr>
          <w:b/>
          <w:sz w:val="28"/>
        </w:rPr>
        <w:tab/>
        <w:t>Governance, Transition &amp; Resiliency in Cities &amp; Regions</w:t>
      </w:r>
    </w:p>
    <w:p w14:paraId="662978FB" w14:textId="77777777" w:rsidR="000F5E12" w:rsidRDefault="000F5E12" w:rsidP="000F5E12">
      <w:r>
        <w:t>March 24</w:t>
      </w:r>
      <w:r>
        <w:tab/>
      </w:r>
      <w:r>
        <w:tab/>
        <w:t>Resilience, Innovation &amp; Economic Transformation</w:t>
      </w:r>
    </w:p>
    <w:p w14:paraId="601334A3" w14:textId="77777777" w:rsidR="000F5E12" w:rsidRDefault="000F5E12" w:rsidP="000F5E12">
      <w:r>
        <w:t>March 31</w:t>
      </w:r>
      <w:r>
        <w:tab/>
      </w:r>
      <w:r>
        <w:tab/>
        <w:t>Local Government, Local Actors &amp; Economic Development Innovation</w:t>
      </w:r>
    </w:p>
    <w:p w14:paraId="5BD729EE" w14:textId="77777777" w:rsidR="000F5E12" w:rsidRDefault="000F5E12" w:rsidP="000F5E12"/>
    <w:p w14:paraId="68706BB2" w14:textId="77777777" w:rsidR="000F5E12" w:rsidRDefault="000F5E12" w:rsidP="000F5E12"/>
    <w:p w14:paraId="3BE07C82" w14:textId="77777777" w:rsidR="000F5E12" w:rsidRDefault="000F5E12" w:rsidP="000F5E12"/>
    <w:p w14:paraId="2E154FD5" w14:textId="77777777" w:rsidR="000F5E12" w:rsidRDefault="000F5E12" w:rsidP="000F5E12"/>
    <w:p w14:paraId="02A47899" w14:textId="77777777" w:rsidR="000F5E12" w:rsidRDefault="000F5E12" w:rsidP="000F5E12"/>
    <w:p w14:paraId="7AB32D5E" w14:textId="77777777" w:rsidR="000F5E12" w:rsidRDefault="000F5E12" w:rsidP="000F5E12"/>
    <w:p w14:paraId="46E05A4C" w14:textId="77777777" w:rsidR="000F5E12" w:rsidRDefault="000F5E12" w:rsidP="000F5E12"/>
    <w:p w14:paraId="27F4FCCA" w14:textId="77777777" w:rsidR="000F5E12" w:rsidRDefault="000F5E12" w:rsidP="000F5E12"/>
    <w:p w14:paraId="7C92896D" w14:textId="77777777" w:rsidR="000F5E12" w:rsidRDefault="000F5E12" w:rsidP="000F5E12"/>
    <w:p w14:paraId="1CAF15B5" w14:textId="77777777" w:rsidR="000F5E12" w:rsidRDefault="000F5E12" w:rsidP="000F5E12"/>
    <w:p w14:paraId="03E08504" w14:textId="77777777" w:rsidR="000F5E12" w:rsidRDefault="000F5E12" w:rsidP="000F5E12"/>
    <w:p w14:paraId="575BB023" w14:textId="77777777" w:rsidR="000F5E12" w:rsidRDefault="000F5E12" w:rsidP="000F5E12"/>
    <w:p w14:paraId="738105B4" w14:textId="77777777" w:rsidR="000F5E12" w:rsidRDefault="000F5E12" w:rsidP="000F5E12"/>
    <w:p w14:paraId="37C4C62C" w14:textId="77777777" w:rsidR="000F5E12" w:rsidRDefault="000F5E12" w:rsidP="000F5E12"/>
    <w:p w14:paraId="12F36286" w14:textId="77777777" w:rsidR="000F5E12" w:rsidRDefault="000F5E12" w:rsidP="000F5E12"/>
    <w:p w14:paraId="1E176EAC" w14:textId="77777777" w:rsidR="000F5E12" w:rsidRDefault="000F5E12" w:rsidP="000F5E12">
      <w:pPr>
        <w:jc w:val="center"/>
        <w:rPr>
          <w:b/>
          <w:sz w:val="32"/>
        </w:rPr>
      </w:pPr>
      <w:r>
        <w:rPr>
          <w:b/>
          <w:sz w:val="32"/>
        </w:rPr>
        <w:lastRenderedPageBreak/>
        <w:t>ECDEV 606</w:t>
      </w:r>
    </w:p>
    <w:p w14:paraId="03FD749C" w14:textId="77777777" w:rsidR="000F5E12" w:rsidRDefault="000F5E12" w:rsidP="000F5E12">
      <w:pPr>
        <w:jc w:val="center"/>
        <w:rPr>
          <w:b/>
          <w:sz w:val="32"/>
        </w:rPr>
      </w:pPr>
      <w:r>
        <w:rPr>
          <w:b/>
          <w:sz w:val="32"/>
        </w:rPr>
        <w:t>Detailed Class Overview &amp; Reading List</w:t>
      </w:r>
    </w:p>
    <w:p w14:paraId="2D6F3A06" w14:textId="77777777" w:rsidR="000F5E12" w:rsidRDefault="000F5E12" w:rsidP="000F5E12"/>
    <w:p w14:paraId="1F11B83F" w14:textId="77777777" w:rsidR="000F5E12" w:rsidRDefault="000F5E12" w:rsidP="000F5E12">
      <w:pPr>
        <w:jc w:val="both"/>
      </w:pPr>
    </w:p>
    <w:tbl>
      <w:tblPr>
        <w:tblStyle w:val="TableGrid"/>
        <w:tblW w:w="0" w:type="auto"/>
        <w:tblLook w:val="04A0" w:firstRow="1" w:lastRow="0" w:firstColumn="1" w:lastColumn="0" w:noHBand="0" w:noVBand="1"/>
      </w:tblPr>
      <w:tblGrid>
        <w:gridCol w:w="2547"/>
        <w:gridCol w:w="6803"/>
      </w:tblGrid>
      <w:tr w:rsidR="000F5E12" w14:paraId="452D77F2" w14:textId="77777777" w:rsidTr="00D571B3">
        <w:tc>
          <w:tcPr>
            <w:tcW w:w="2547" w:type="dxa"/>
          </w:tcPr>
          <w:p w14:paraId="05D607FB" w14:textId="77777777" w:rsidR="000F5E12" w:rsidRDefault="000F5E12" w:rsidP="00D571B3">
            <w:r w:rsidRPr="00466AF3">
              <w:rPr>
                <w:b/>
                <w:bCs/>
              </w:rPr>
              <w:t>Week 1</w:t>
            </w:r>
            <w:r>
              <w:t xml:space="preserve"> (January 7)</w:t>
            </w:r>
          </w:p>
        </w:tc>
        <w:tc>
          <w:tcPr>
            <w:tcW w:w="6803" w:type="dxa"/>
          </w:tcPr>
          <w:p w14:paraId="7EFCD968" w14:textId="77777777" w:rsidR="000F5E12" w:rsidRPr="00466AF3" w:rsidRDefault="000F5E12" w:rsidP="00D571B3">
            <w:pPr>
              <w:rPr>
                <w:b/>
                <w:bCs/>
              </w:rPr>
            </w:pPr>
            <w:r w:rsidRPr="00B80295">
              <w:rPr>
                <w:b/>
                <w:bCs/>
              </w:rPr>
              <w:t>Introductions &amp; Overview of Course</w:t>
            </w:r>
          </w:p>
        </w:tc>
      </w:tr>
      <w:tr w:rsidR="000F5E12" w14:paraId="63EB65C0" w14:textId="77777777" w:rsidTr="00D571B3">
        <w:tc>
          <w:tcPr>
            <w:tcW w:w="9350" w:type="dxa"/>
            <w:gridSpan w:val="2"/>
          </w:tcPr>
          <w:p w14:paraId="7C5F60D8" w14:textId="77777777" w:rsidR="000F5E12" w:rsidRPr="00466AF3" w:rsidRDefault="000F5E12" w:rsidP="00D571B3">
            <w:pPr>
              <w:rPr>
                <w:b/>
                <w:bCs/>
              </w:rPr>
            </w:pPr>
            <w:r w:rsidRPr="00466AF3">
              <w:rPr>
                <w:b/>
                <w:bCs/>
              </w:rPr>
              <w:t>Overview:</w:t>
            </w:r>
          </w:p>
          <w:p w14:paraId="721327D1" w14:textId="77777777" w:rsidR="000F5E12" w:rsidRDefault="000F5E12" w:rsidP="00D571B3">
            <w:r>
              <w:t>Review of course content and syllabus, and introductions</w:t>
            </w:r>
          </w:p>
        </w:tc>
      </w:tr>
      <w:tr w:rsidR="000F5E12" w14:paraId="5B001FDF" w14:textId="77777777" w:rsidTr="00D571B3">
        <w:tc>
          <w:tcPr>
            <w:tcW w:w="9350" w:type="dxa"/>
            <w:gridSpan w:val="2"/>
          </w:tcPr>
          <w:p w14:paraId="58AB5515" w14:textId="77777777" w:rsidR="000F5E12" w:rsidRPr="00466AF3" w:rsidRDefault="000F5E12" w:rsidP="00D571B3">
            <w:pPr>
              <w:rPr>
                <w:b/>
                <w:bCs/>
              </w:rPr>
            </w:pPr>
            <w:r w:rsidRPr="00466AF3">
              <w:rPr>
                <w:b/>
                <w:bCs/>
              </w:rPr>
              <w:t>Readings:</w:t>
            </w:r>
          </w:p>
          <w:p w14:paraId="3FEBFAC5" w14:textId="77777777" w:rsidR="000F5E12" w:rsidRDefault="000F5E12" w:rsidP="00D571B3">
            <w:r>
              <w:t>None</w:t>
            </w:r>
          </w:p>
        </w:tc>
      </w:tr>
      <w:tr w:rsidR="000F5E12" w14:paraId="58BE232F" w14:textId="77777777" w:rsidTr="00D571B3">
        <w:tc>
          <w:tcPr>
            <w:tcW w:w="9350" w:type="dxa"/>
            <w:gridSpan w:val="2"/>
          </w:tcPr>
          <w:p w14:paraId="2ED392B7" w14:textId="77777777" w:rsidR="000F5E12" w:rsidRPr="00466AF3" w:rsidRDefault="000F5E12" w:rsidP="00D571B3">
            <w:pPr>
              <w:rPr>
                <w:b/>
                <w:bCs/>
              </w:rPr>
            </w:pPr>
            <w:r w:rsidRPr="00466AF3">
              <w:rPr>
                <w:b/>
                <w:bCs/>
              </w:rPr>
              <w:t>Seminar Leader Readings:</w:t>
            </w:r>
          </w:p>
          <w:p w14:paraId="05B0551E" w14:textId="77777777" w:rsidR="000F5E12" w:rsidRDefault="000F5E12" w:rsidP="00D571B3">
            <w:r>
              <w:t>None</w:t>
            </w:r>
          </w:p>
        </w:tc>
      </w:tr>
      <w:tr w:rsidR="000F5E12" w14:paraId="410CB742" w14:textId="77777777" w:rsidTr="00D571B3">
        <w:tc>
          <w:tcPr>
            <w:tcW w:w="9350" w:type="dxa"/>
            <w:gridSpan w:val="2"/>
          </w:tcPr>
          <w:p w14:paraId="1158A043" w14:textId="77777777" w:rsidR="000F5E12" w:rsidRPr="00466AF3" w:rsidRDefault="000F5E12" w:rsidP="00D571B3">
            <w:pPr>
              <w:rPr>
                <w:b/>
                <w:bCs/>
              </w:rPr>
            </w:pPr>
            <w:r w:rsidRPr="00466AF3">
              <w:rPr>
                <w:b/>
                <w:bCs/>
              </w:rPr>
              <w:t>Seminar Leaders:</w:t>
            </w:r>
          </w:p>
          <w:p w14:paraId="1008EA2F" w14:textId="77777777" w:rsidR="000F5E12" w:rsidRDefault="000F5E12" w:rsidP="00D571B3">
            <w:r>
              <w:t>Brock Dickinson</w:t>
            </w:r>
          </w:p>
        </w:tc>
      </w:tr>
    </w:tbl>
    <w:p w14:paraId="1FDF42EF" w14:textId="77777777" w:rsidR="000F5E12" w:rsidRDefault="000F5E12" w:rsidP="000F5E12"/>
    <w:p w14:paraId="53178A23" w14:textId="77777777" w:rsidR="000F5E12" w:rsidRDefault="000F5E12" w:rsidP="000F5E12"/>
    <w:tbl>
      <w:tblPr>
        <w:tblStyle w:val="TableGrid"/>
        <w:tblW w:w="0" w:type="auto"/>
        <w:tblLook w:val="04A0" w:firstRow="1" w:lastRow="0" w:firstColumn="1" w:lastColumn="0" w:noHBand="0" w:noVBand="1"/>
      </w:tblPr>
      <w:tblGrid>
        <w:gridCol w:w="2547"/>
        <w:gridCol w:w="6803"/>
      </w:tblGrid>
      <w:tr w:rsidR="000F5E12" w14:paraId="0EDF5B25" w14:textId="77777777" w:rsidTr="00D571B3">
        <w:tc>
          <w:tcPr>
            <w:tcW w:w="2547" w:type="dxa"/>
          </w:tcPr>
          <w:p w14:paraId="491B4D36" w14:textId="77777777" w:rsidR="000F5E12" w:rsidRDefault="000F5E12" w:rsidP="00D571B3">
            <w:r w:rsidRPr="00466AF3">
              <w:rPr>
                <w:b/>
                <w:bCs/>
              </w:rPr>
              <w:t xml:space="preserve">Week </w:t>
            </w:r>
            <w:r>
              <w:rPr>
                <w:b/>
                <w:bCs/>
              </w:rPr>
              <w:t>2</w:t>
            </w:r>
            <w:r>
              <w:t xml:space="preserve"> (January 14)</w:t>
            </w:r>
          </w:p>
        </w:tc>
        <w:tc>
          <w:tcPr>
            <w:tcW w:w="6803" w:type="dxa"/>
          </w:tcPr>
          <w:p w14:paraId="376DEB0E" w14:textId="77777777" w:rsidR="000F5E12" w:rsidRPr="00466AF3" w:rsidRDefault="000F5E12" w:rsidP="00D571B3">
            <w:pPr>
              <w:rPr>
                <w:b/>
                <w:bCs/>
              </w:rPr>
            </w:pPr>
            <w:r w:rsidRPr="00B80295">
              <w:rPr>
                <w:b/>
                <w:bCs/>
              </w:rPr>
              <w:t>Innovation &amp; Economic Development: Intellectual Traditions &amp; Key Ideas</w:t>
            </w:r>
          </w:p>
        </w:tc>
      </w:tr>
      <w:tr w:rsidR="000F5E12" w14:paraId="508C862B" w14:textId="77777777" w:rsidTr="00D571B3">
        <w:tc>
          <w:tcPr>
            <w:tcW w:w="9350" w:type="dxa"/>
            <w:gridSpan w:val="2"/>
          </w:tcPr>
          <w:p w14:paraId="29B852DD" w14:textId="77777777" w:rsidR="000F5E12" w:rsidRPr="00466AF3" w:rsidRDefault="000F5E12" w:rsidP="00D571B3">
            <w:pPr>
              <w:rPr>
                <w:b/>
                <w:bCs/>
              </w:rPr>
            </w:pPr>
            <w:r w:rsidRPr="00466AF3">
              <w:rPr>
                <w:b/>
                <w:bCs/>
              </w:rPr>
              <w:t>Overview:</w:t>
            </w:r>
          </w:p>
          <w:p w14:paraId="1F4FB982" w14:textId="77777777" w:rsidR="000F5E12" w:rsidRDefault="000F5E12" w:rsidP="00D571B3">
            <w:r>
              <w:t>What is innovation, and how does it relate to local development? This opening class explores the key ideas in this space, traces the evolution of key concepts over time, and provides a framework for following weeks in the course. An introductory lecture will cover key ideas of relevance from Machiavelli, Schumpeter, Drucker and others, before leading into the core discussion content focused on current concepts of innovation and development.</w:t>
            </w:r>
          </w:p>
        </w:tc>
      </w:tr>
      <w:tr w:rsidR="000F5E12" w14:paraId="7725FD0B" w14:textId="77777777" w:rsidTr="00D571B3">
        <w:tc>
          <w:tcPr>
            <w:tcW w:w="9350" w:type="dxa"/>
            <w:gridSpan w:val="2"/>
          </w:tcPr>
          <w:p w14:paraId="3A040693" w14:textId="77777777" w:rsidR="000F5E12" w:rsidRPr="00466AF3" w:rsidRDefault="000F5E12" w:rsidP="00D571B3">
            <w:pPr>
              <w:rPr>
                <w:b/>
                <w:bCs/>
              </w:rPr>
            </w:pPr>
            <w:r w:rsidRPr="00466AF3">
              <w:rPr>
                <w:b/>
                <w:bCs/>
              </w:rPr>
              <w:t>Readings:</w:t>
            </w:r>
          </w:p>
          <w:p w14:paraId="477CFEE8" w14:textId="77777777" w:rsidR="000F5E12" w:rsidRPr="00F6547A" w:rsidRDefault="000F5E12" w:rsidP="00D571B3">
            <w:pPr>
              <w:pStyle w:val="ListParagraph"/>
              <w:numPr>
                <w:ilvl w:val="0"/>
                <w:numId w:val="18"/>
              </w:numPr>
            </w:pPr>
            <w:r w:rsidRPr="00C85214">
              <w:t xml:space="preserve">Clayton Christensen, </w:t>
            </w:r>
            <w:r w:rsidRPr="00C85214">
              <w:rPr>
                <w:i/>
                <w:iCs/>
              </w:rPr>
              <w:t>The Innovator’s Dilemma</w:t>
            </w:r>
            <w:r w:rsidRPr="00F6547A">
              <w:t>, Harvard Business Review Press, 2000</w:t>
            </w:r>
          </w:p>
          <w:p w14:paraId="214BEB64" w14:textId="77777777" w:rsidR="000F5E12" w:rsidRDefault="000F5E12" w:rsidP="00D571B3">
            <w:pPr>
              <w:pStyle w:val="ListParagraph"/>
              <w:numPr>
                <w:ilvl w:val="1"/>
                <w:numId w:val="18"/>
              </w:numPr>
            </w:pPr>
            <w:r>
              <w:t>“Introduction” pp. ix-xxvii</w:t>
            </w:r>
          </w:p>
          <w:p w14:paraId="78921E63" w14:textId="77777777" w:rsidR="000F5E12" w:rsidRDefault="000F5E12" w:rsidP="00D571B3">
            <w:pPr>
              <w:pStyle w:val="ListParagraph"/>
              <w:numPr>
                <w:ilvl w:val="1"/>
                <w:numId w:val="18"/>
              </w:numPr>
            </w:pPr>
            <w:r>
              <w:t>“Discovering New and Emerging Markets” pp. 143-159</w:t>
            </w:r>
          </w:p>
          <w:p w14:paraId="18A4AB9C" w14:textId="77777777" w:rsidR="000F5E12" w:rsidRDefault="000F5E12" w:rsidP="00D571B3">
            <w:pPr>
              <w:pStyle w:val="ListParagraph"/>
              <w:numPr>
                <w:ilvl w:val="0"/>
                <w:numId w:val="18"/>
              </w:numPr>
            </w:pPr>
            <w:r>
              <w:t xml:space="preserve">Robert D. Atkinson and Stephen J. Ezell, </w:t>
            </w:r>
            <w:r w:rsidRPr="008C64E4">
              <w:rPr>
                <w:i/>
                <w:iCs/>
              </w:rPr>
              <w:t>Innovation Economics</w:t>
            </w:r>
            <w:r w:rsidRPr="00AD03A1">
              <w:t>, Yale University Press, 2012</w:t>
            </w:r>
          </w:p>
          <w:p w14:paraId="00584C07" w14:textId="77777777" w:rsidR="000F5E12" w:rsidRDefault="000F5E12" w:rsidP="00D571B3">
            <w:pPr>
              <w:pStyle w:val="ListParagraph"/>
              <w:numPr>
                <w:ilvl w:val="1"/>
                <w:numId w:val="18"/>
              </w:numPr>
            </w:pPr>
            <w:r>
              <w:t>“The Race for Global Innovation Advantage” pp. 1-16</w:t>
            </w:r>
          </w:p>
          <w:p w14:paraId="56695F8A" w14:textId="77777777" w:rsidR="000F5E12" w:rsidRDefault="000F5E12" w:rsidP="00D571B3">
            <w:pPr>
              <w:pStyle w:val="ListParagraph"/>
              <w:numPr>
                <w:ilvl w:val="0"/>
                <w:numId w:val="18"/>
              </w:numPr>
            </w:pPr>
            <w:r>
              <w:t xml:space="preserve">Mark Zachary Taylor, </w:t>
            </w:r>
            <w:r w:rsidRPr="00F0785F">
              <w:rPr>
                <w:i/>
                <w:iCs/>
              </w:rPr>
              <w:t>The Politics of Innovation</w:t>
            </w:r>
            <w:r>
              <w:t>, Oxford University Press, 2016</w:t>
            </w:r>
          </w:p>
          <w:p w14:paraId="2383176A" w14:textId="77777777" w:rsidR="000F5E12" w:rsidRDefault="000F5E12" w:rsidP="00D571B3">
            <w:pPr>
              <w:pStyle w:val="ListParagraph"/>
              <w:numPr>
                <w:ilvl w:val="1"/>
                <w:numId w:val="18"/>
              </w:numPr>
            </w:pPr>
            <w:r>
              <w:t>“Introduction: The Puzzle of Cardwell’s Law” pp. 3-24</w:t>
            </w:r>
          </w:p>
        </w:tc>
      </w:tr>
      <w:tr w:rsidR="000F5E12" w14:paraId="50E5210A" w14:textId="77777777" w:rsidTr="00D571B3">
        <w:tc>
          <w:tcPr>
            <w:tcW w:w="9350" w:type="dxa"/>
            <w:gridSpan w:val="2"/>
          </w:tcPr>
          <w:p w14:paraId="07699067" w14:textId="77777777" w:rsidR="000F5E12" w:rsidRPr="00466AF3" w:rsidRDefault="000F5E12" w:rsidP="00D571B3">
            <w:pPr>
              <w:rPr>
                <w:b/>
                <w:bCs/>
              </w:rPr>
            </w:pPr>
            <w:r w:rsidRPr="00466AF3">
              <w:rPr>
                <w:b/>
                <w:bCs/>
              </w:rPr>
              <w:t>Seminar Leader Readings:</w:t>
            </w:r>
          </w:p>
          <w:p w14:paraId="77D56734" w14:textId="77777777" w:rsidR="000F5E12" w:rsidRDefault="000F5E12" w:rsidP="00D571B3">
            <w:r>
              <w:t>None</w:t>
            </w:r>
          </w:p>
        </w:tc>
      </w:tr>
      <w:tr w:rsidR="000F5E12" w14:paraId="707AD4DF" w14:textId="77777777" w:rsidTr="00D571B3">
        <w:tc>
          <w:tcPr>
            <w:tcW w:w="9350" w:type="dxa"/>
            <w:gridSpan w:val="2"/>
          </w:tcPr>
          <w:p w14:paraId="01314CE3" w14:textId="77777777" w:rsidR="000F5E12" w:rsidRPr="00466AF3" w:rsidRDefault="000F5E12" w:rsidP="00D571B3">
            <w:pPr>
              <w:rPr>
                <w:b/>
                <w:bCs/>
              </w:rPr>
            </w:pPr>
            <w:r w:rsidRPr="00466AF3">
              <w:rPr>
                <w:b/>
                <w:bCs/>
              </w:rPr>
              <w:t>Seminar Leaders:</w:t>
            </w:r>
          </w:p>
          <w:p w14:paraId="5B5F422E" w14:textId="77777777" w:rsidR="000F5E12" w:rsidRDefault="000F5E12" w:rsidP="00D571B3">
            <w:r>
              <w:t>Brock Dickinson</w:t>
            </w:r>
          </w:p>
        </w:tc>
      </w:tr>
    </w:tbl>
    <w:p w14:paraId="33456579" w14:textId="77777777" w:rsidR="000F5E12" w:rsidRDefault="000F5E12" w:rsidP="000F5E12"/>
    <w:p w14:paraId="0852B38B" w14:textId="77777777" w:rsidR="000F5E12" w:rsidRDefault="000F5E12" w:rsidP="000F5E12"/>
    <w:p w14:paraId="67BE9424" w14:textId="77777777" w:rsidR="000F5E12" w:rsidRDefault="000F5E12" w:rsidP="000F5E12"/>
    <w:p w14:paraId="15460F35" w14:textId="77777777" w:rsidR="000F5E12" w:rsidRDefault="000F5E12" w:rsidP="000F5E12"/>
    <w:p w14:paraId="3BC22DD6" w14:textId="77777777" w:rsidR="000F5E12" w:rsidRDefault="000F5E12" w:rsidP="000F5E12"/>
    <w:p w14:paraId="23652C75" w14:textId="77777777" w:rsidR="000F5E12" w:rsidRDefault="000F5E12" w:rsidP="000F5E12"/>
    <w:tbl>
      <w:tblPr>
        <w:tblStyle w:val="TableGrid"/>
        <w:tblW w:w="0" w:type="auto"/>
        <w:tblLook w:val="04A0" w:firstRow="1" w:lastRow="0" w:firstColumn="1" w:lastColumn="0" w:noHBand="0" w:noVBand="1"/>
      </w:tblPr>
      <w:tblGrid>
        <w:gridCol w:w="2547"/>
        <w:gridCol w:w="6803"/>
      </w:tblGrid>
      <w:tr w:rsidR="000F5E12" w14:paraId="018E194C" w14:textId="77777777" w:rsidTr="00D571B3">
        <w:tc>
          <w:tcPr>
            <w:tcW w:w="2547" w:type="dxa"/>
          </w:tcPr>
          <w:p w14:paraId="7B674371" w14:textId="77777777" w:rsidR="000F5E12" w:rsidRDefault="000F5E12" w:rsidP="00D571B3">
            <w:r w:rsidRPr="00466AF3">
              <w:rPr>
                <w:b/>
                <w:bCs/>
              </w:rPr>
              <w:lastRenderedPageBreak/>
              <w:t xml:space="preserve">Week </w:t>
            </w:r>
            <w:r>
              <w:rPr>
                <w:b/>
                <w:bCs/>
              </w:rPr>
              <w:t>3</w:t>
            </w:r>
            <w:r>
              <w:t xml:space="preserve"> (January 21)</w:t>
            </w:r>
          </w:p>
        </w:tc>
        <w:tc>
          <w:tcPr>
            <w:tcW w:w="6803" w:type="dxa"/>
          </w:tcPr>
          <w:p w14:paraId="43933612" w14:textId="77777777" w:rsidR="000F5E12" w:rsidRPr="00466AF3" w:rsidRDefault="000F5E12" w:rsidP="00D571B3">
            <w:pPr>
              <w:rPr>
                <w:b/>
                <w:bCs/>
              </w:rPr>
            </w:pPr>
            <w:r w:rsidRPr="00A44254">
              <w:rPr>
                <w:b/>
                <w:bCs/>
              </w:rPr>
              <w:t>Innovation, Cities &amp; Regions</w:t>
            </w:r>
          </w:p>
        </w:tc>
      </w:tr>
      <w:tr w:rsidR="000F5E12" w14:paraId="790B74BA" w14:textId="77777777" w:rsidTr="00D571B3">
        <w:tc>
          <w:tcPr>
            <w:tcW w:w="9350" w:type="dxa"/>
            <w:gridSpan w:val="2"/>
          </w:tcPr>
          <w:p w14:paraId="436D3A66" w14:textId="77777777" w:rsidR="000F5E12" w:rsidRPr="00466AF3" w:rsidRDefault="000F5E12" w:rsidP="00D571B3">
            <w:pPr>
              <w:rPr>
                <w:b/>
                <w:bCs/>
              </w:rPr>
            </w:pPr>
            <w:r w:rsidRPr="00466AF3">
              <w:rPr>
                <w:b/>
                <w:bCs/>
              </w:rPr>
              <w:t>Overview:</w:t>
            </w:r>
          </w:p>
          <w:p w14:paraId="506620F7" w14:textId="77777777" w:rsidR="000F5E12" w:rsidRDefault="000F5E12" w:rsidP="00D571B3">
            <w:r w:rsidRPr="001F0346">
              <w:t>What</w:t>
            </w:r>
            <w:r>
              <w:t xml:space="preserve"> is a region, and how do regional economies shape the opportunities related to local development? This class explores the connections between regional economic assets and the ways in which they are conceptualized and promoted for local development purposes.</w:t>
            </w:r>
          </w:p>
        </w:tc>
      </w:tr>
      <w:tr w:rsidR="000F5E12" w14:paraId="53AE3D59" w14:textId="77777777" w:rsidTr="00D571B3">
        <w:tc>
          <w:tcPr>
            <w:tcW w:w="9350" w:type="dxa"/>
            <w:gridSpan w:val="2"/>
          </w:tcPr>
          <w:p w14:paraId="4789EAF9" w14:textId="77777777" w:rsidR="000F5E12" w:rsidRPr="00466AF3" w:rsidRDefault="000F5E12" w:rsidP="00D571B3">
            <w:pPr>
              <w:rPr>
                <w:b/>
                <w:bCs/>
              </w:rPr>
            </w:pPr>
            <w:r w:rsidRPr="00466AF3">
              <w:rPr>
                <w:b/>
                <w:bCs/>
              </w:rPr>
              <w:t>Readings:</w:t>
            </w:r>
          </w:p>
          <w:p w14:paraId="11081F69" w14:textId="77777777" w:rsidR="000F5E12" w:rsidRPr="00466AF3" w:rsidRDefault="000F5E12" w:rsidP="00D571B3">
            <w:pPr>
              <w:pStyle w:val="ListParagraph"/>
              <w:numPr>
                <w:ilvl w:val="0"/>
                <w:numId w:val="18"/>
              </w:numPr>
            </w:pPr>
            <w:r w:rsidRPr="00466AF3">
              <w:t>Kathryn Foster, “Regionalism on Purpose,” Lincoln Institute of Land Policy, 2001, pp. 1-16</w:t>
            </w:r>
          </w:p>
          <w:p w14:paraId="7FA9C786" w14:textId="77777777" w:rsidR="000F5E12" w:rsidRDefault="000F5E12" w:rsidP="00D571B3">
            <w:pPr>
              <w:pStyle w:val="ListParagraph"/>
              <w:numPr>
                <w:ilvl w:val="0"/>
                <w:numId w:val="18"/>
              </w:numPr>
            </w:pPr>
            <w:r>
              <w:t>Michael Porter</w:t>
            </w:r>
            <w:r w:rsidRPr="00F66388">
              <w:t xml:space="preserve">, </w:t>
            </w:r>
            <w:r w:rsidRPr="002E5C1F">
              <w:rPr>
                <w:i/>
                <w:iCs/>
              </w:rPr>
              <w:t>The Competitive Advantage of Nations</w:t>
            </w:r>
            <w:r>
              <w:t>, Free Press, 1990</w:t>
            </w:r>
          </w:p>
          <w:p w14:paraId="2F584B5A" w14:textId="77777777" w:rsidR="000F5E12" w:rsidRPr="00F66388" w:rsidRDefault="000F5E12" w:rsidP="00D571B3">
            <w:pPr>
              <w:pStyle w:val="ListParagraph"/>
              <w:numPr>
                <w:ilvl w:val="1"/>
                <w:numId w:val="18"/>
              </w:numPr>
            </w:pPr>
            <w:r>
              <w:t>The Dynamics of National Advantage, pp. 131-175</w:t>
            </w:r>
          </w:p>
          <w:p w14:paraId="694F9648" w14:textId="77777777" w:rsidR="000F5E12" w:rsidRDefault="000F5E12" w:rsidP="00D571B3">
            <w:pPr>
              <w:pStyle w:val="ListParagraph"/>
              <w:numPr>
                <w:ilvl w:val="0"/>
                <w:numId w:val="18"/>
              </w:numPr>
            </w:pPr>
            <w:r w:rsidRPr="00F37A11">
              <w:t xml:space="preserve">Mark Zachary Taylor, </w:t>
            </w:r>
            <w:r w:rsidRPr="00F37A11">
              <w:rPr>
                <w:i/>
                <w:iCs/>
              </w:rPr>
              <w:t>The Politics of Innovation</w:t>
            </w:r>
            <w:r>
              <w:t>, Oxford University Press, 2016</w:t>
            </w:r>
          </w:p>
          <w:p w14:paraId="2D453926" w14:textId="77777777" w:rsidR="000F5E12" w:rsidRDefault="000F5E12" w:rsidP="00D571B3">
            <w:pPr>
              <w:pStyle w:val="ListParagraph"/>
              <w:numPr>
                <w:ilvl w:val="1"/>
                <w:numId w:val="18"/>
              </w:numPr>
            </w:pPr>
            <w:r>
              <w:t>“How Nations Succeed: Networks, Clusters and Standards” pp. 140-179</w:t>
            </w:r>
          </w:p>
        </w:tc>
      </w:tr>
      <w:tr w:rsidR="000F5E12" w14:paraId="0DF69DE8" w14:textId="77777777" w:rsidTr="00D571B3">
        <w:tc>
          <w:tcPr>
            <w:tcW w:w="9350" w:type="dxa"/>
            <w:gridSpan w:val="2"/>
          </w:tcPr>
          <w:p w14:paraId="5E74514D" w14:textId="77777777" w:rsidR="000F5E12" w:rsidRPr="00466AF3" w:rsidRDefault="000F5E12" w:rsidP="00D571B3">
            <w:pPr>
              <w:rPr>
                <w:b/>
                <w:bCs/>
              </w:rPr>
            </w:pPr>
            <w:r w:rsidRPr="00466AF3">
              <w:rPr>
                <w:b/>
                <w:bCs/>
              </w:rPr>
              <w:t>Seminar Leader Readings:</w:t>
            </w:r>
          </w:p>
          <w:p w14:paraId="2F5FEC3D" w14:textId="77777777" w:rsidR="000F5E12" w:rsidRDefault="000F5E12" w:rsidP="00D571B3">
            <w:r>
              <w:t>None</w:t>
            </w:r>
          </w:p>
        </w:tc>
      </w:tr>
      <w:tr w:rsidR="000F5E12" w14:paraId="56856190" w14:textId="77777777" w:rsidTr="00D571B3">
        <w:tc>
          <w:tcPr>
            <w:tcW w:w="9350" w:type="dxa"/>
            <w:gridSpan w:val="2"/>
          </w:tcPr>
          <w:p w14:paraId="4914742B" w14:textId="77777777" w:rsidR="000F5E12" w:rsidRPr="00466AF3" w:rsidRDefault="000F5E12" w:rsidP="00D571B3">
            <w:pPr>
              <w:rPr>
                <w:b/>
                <w:bCs/>
              </w:rPr>
            </w:pPr>
            <w:r w:rsidRPr="00466AF3">
              <w:rPr>
                <w:b/>
                <w:bCs/>
              </w:rPr>
              <w:t>Seminar Leaders:</w:t>
            </w:r>
          </w:p>
          <w:p w14:paraId="30B979E0" w14:textId="77777777" w:rsidR="000F5E12" w:rsidRDefault="000F5E12" w:rsidP="00D571B3">
            <w:r>
              <w:t>Brock Dickinson</w:t>
            </w:r>
          </w:p>
        </w:tc>
      </w:tr>
    </w:tbl>
    <w:p w14:paraId="55FCAD53" w14:textId="77777777" w:rsidR="000F5E12" w:rsidRDefault="000F5E12" w:rsidP="000F5E12"/>
    <w:tbl>
      <w:tblPr>
        <w:tblStyle w:val="TableGrid"/>
        <w:tblW w:w="0" w:type="auto"/>
        <w:tblLook w:val="04A0" w:firstRow="1" w:lastRow="0" w:firstColumn="1" w:lastColumn="0" w:noHBand="0" w:noVBand="1"/>
      </w:tblPr>
      <w:tblGrid>
        <w:gridCol w:w="2547"/>
        <w:gridCol w:w="6803"/>
      </w:tblGrid>
      <w:tr w:rsidR="000F5E12" w14:paraId="2E9D213E" w14:textId="77777777" w:rsidTr="00D571B3">
        <w:tc>
          <w:tcPr>
            <w:tcW w:w="2547" w:type="dxa"/>
          </w:tcPr>
          <w:p w14:paraId="59922517" w14:textId="77777777" w:rsidR="000F5E12" w:rsidRDefault="000F5E12" w:rsidP="00D571B3">
            <w:r w:rsidRPr="00466AF3">
              <w:rPr>
                <w:b/>
                <w:bCs/>
              </w:rPr>
              <w:t xml:space="preserve">Week </w:t>
            </w:r>
            <w:r>
              <w:rPr>
                <w:b/>
                <w:bCs/>
              </w:rPr>
              <w:t>4</w:t>
            </w:r>
            <w:r>
              <w:t xml:space="preserve"> (January 28)</w:t>
            </w:r>
          </w:p>
        </w:tc>
        <w:tc>
          <w:tcPr>
            <w:tcW w:w="6803" w:type="dxa"/>
          </w:tcPr>
          <w:p w14:paraId="56A5B853" w14:textId="77777777" w:rsidR="000F5E12" w:rsidRPr="00466AF3" w:rsidRDefault="000F5E12" w:rsidP="00D571B3">
            <w:pPr>
              <w:rPr>
                <w:b/>
                <w:bCs/>
              </w:rPr>
            </w:pPr>
            <w:r w:rsidRPr="005E415D">
              <w:rPr>
                <w:b/>
                <w:bCs/>
              </w:rPr>
              <w:t>Innovation Economies: Learning from Successes</w:t>
            </w:r>
          </w:p>
        </w:tc>
      </w:tr>
      <w:tr w:rsidR="000F5E12" w14:paraId="4D2C3388" w14:textId="77777777" w:rsidTr="00D571B3">
        <w:tc>
          <w:tcPr>
            <w:tcW w:w="9350" w:type="dxa"/>
            <w:gridSpan w:val="2"/>
          </w:tcPr>
          <w:p w14:paraId="5D11203D" w14:textId="77777777" w:rsidR="000F5E12" w:rsidRPr="00466AF3" w:rsidRDefault="000F5E12" w:rsidP="00D571B3">
            <w:pPr>
              <w:rPr>
                <w:b/>
                <w:bCs/>
              </w:rPr>
            </w:pPr>
            <w:r w:rsidRPr="00466AF3">
              <w:rPr>
                <w:b/>
                <w:bCs/>
              </w:rPr>
              <w:t>Overview:</w:t>
            </w:r>
          </w:p>
          <w:p w14:paraId="750EA065" w14:textId="77777777" w:rsidR="000F5E12" w:rsidRDefault="000F5E12" w:rsidP="00D571B3">
            <w:r>
              <w:t>In this class, we will examine successful examples of cluster development and innovation-based economic development in key regions and cities, including Canada’s Waterloo Region, California’s Silicon Valley, and North Carolina’s Research Triangle Park.</w:t>
            </w:r>
          </w:p>
        </w:tc>
      </w:tr>
      <w:tr w:rsidR="000F5E12" w14:paraId="007A29EE" w14:textId="77777777" w:rsidTr="00D571B3">
        <w:tc>
          <w:tcPr>
            <w:tcW w:w="9350" w:type="dxa"/>
            <w:gridSpan w:val="2"/>
          </w:tcPr>
          <w:p w14:paraId="33C1D787" w14:textId="77777777" w:rsidR="000F5E12" w:rsidRPr="004F7FE2" w:rsidRDefault="000F5E12" w:rsidP="00D571B3">
            <w:pPr>
              <w:rPr>
                <w:b/>
                <w:bCs/>
              </w:rPr>
            </w:pPr>
            <w:r w:rsidRPr="00466AF3">
              <w:rPr>
                <w:b/>
                <w:bCs/>
              </w:rPr>
              <w:t>Readings:</w:t>
            </w:r>
          </w:p>
          <w:p w14:paraId="2E7617D5" w14:textId="77777777" w:rsidR="000F5E12" w:rsidRDefault="000F5E12" w:rsidP="00D571B3">
            <w:pPr>
              <w:pStyle w:val="ListParagraph"/>
              <w:numPr>
                <w:ilvl w:val="0"/>
                <w:numId w:val="19"/>
              </w:numPr>
            </w:pPr>
            <w:r>
              <w:t xml:space="preserve">Jerome Engels, “Global Clusters of Innovation: Lessons from Silicon Valley”, </w:t>
            </w:r>
            <w:r w:rsidRPr="00CB2CFF">
              <w:rPr>
                <w:i/>
                <w:iCs/>
              </w:rPr>
              <w:t>California Management Review</w:t>
            </w:r>
            <w:r>
              <w:t xml:space="preserve">, February 1, 2015, pp. 36-65, found at </w:t>
            </w:r>
            <w:hyperlink r:id="rId19" w:history="1">
              <w:r w:rsidRPr="004C510E">
                <w:rPr>
                  <w:rStyle w:val="Hyperlink"/>
                </w:rPr>
                <w:t>https://people.uta.fi/~atmaso/verkkokirjasto/engel_gci.pdf</w:t>
              </w:r>
            </w:hyperlink>
          </w:p>
          <w:p w14:paraId="037D0C4B" w14:textId="77777777" w:rsidR="000F5E12" w:rsidRDefault="000F5E12" w:rsidP="00D571B3">
            <w:pPr>
              <w:pStyle w:val="ListParagraph"/>
              <w:numPr>
                <w:ilvl w:val="0"/>
                <w:numId w:val="19"/>
              </w:numPr>
            </w:pPr>
            <w:r>
              <w:t xml:space="preserve">Paul Parker, “Local-Global Partnerships for High Tech Development: Integrating Top Down and Bottom-Up Models,” </w:t>
            </w:r>
            <w:r w:rsidRPr="00CB2CFF">
              <w:rPr>
                <w:i/>
                <w:iCs/>
              </w:rPr>
              <w:t>Economic Development Quarterly</w:t>
            </w:r>
            <w:r>
              <w:t>, 2001 (pp. 149-167)</w:t>
            </w:r>
          </w:p>
          <w:p w14:paraId="6F4D386A" w14:textId="77777777" w:rsidR="000F5E12" w:rsidRDefault="000F5E12" w:rsidP="00D571B3">
            <w:pPr>
              <w:pStyle w:val="ListParagraph"/>
              <w:numPr>
                <w:ilvl w:val="0"/>
                <w:numId w:val="19"/>
              </w:numPr>
            </w:pPr>
            <w:r>
              <w:t xml:space="preserve">John W. Hardin, “North Carolina’s Research Triangle Park: Overview, History, Success Factors and Lessons Learned,” from W. </w:t>
            </w:r>
            <w:proofErr w:type="spellStart"/>
            <w:r>
              <w:t>Hulsink</w:t>
            </w:r>
            <w:proofErr w:type="spellEnd"/>
            <w:r>
              <w:t xml:space="preserve"> and H. Dons (eds.), </w:t>
            </w:r>
            <w:r w:rsidRPr="00B55D4B">
              <w:rPr>
                <w:i/>
                <w:iCs/>
              </w:rPr>
              <w:t>Pathways to High-tech Valleys and Research Triangles: Innovative Entrepreneurship, Knowledge Transfer and Cluster Formation in Europe and the United States</w:t>
            </w:r>
            <w:r>
              <w:t xml:space="preserve">, Springer, found at </w:t>
            </w:r>
            <w:hyperlink r:id="rId20" w:history="1">
              <w:r w:rsidRPr="00BE3E11">
                <w:rPr>
                  <w:rStyle w:val="Hyperlink"/>
                </w:rPr>
                <w:t>https://library.wur.nl/frontis/research_triangles/02_hardin.pdf</w:t>
              </w:r>
            </w:hyperlink>
            <w:r>
              <w:t xml:space="preserve"> , pp. 27-51</w:t>
            </w:r>
          </w:p>
        </w:tc>
      </w:tr>
      <w:tr w:rsidR="000F5E12" w14:paraId="2BC5210C" w14:textId="77777777" w:rsidTr="00D571B3">
        <w:tc>
          <w:tcPr>
            <w:tcW w:w="9350" w:type="dxa"/>
            <w:gridSpan w:val="2"/>
          </w:tcPr>
          <w:p w14:paraId="69A746D5" w14:textId="77777777" w:rsidR="000F5E12" w:rsidRPr="00466AF3" w:rsidRDefault="000F5E12" w:rsidP="00D571B3">
            <w:pPr>
              <w:rPr>
                <w:b/>
                <w:bCs/>
              </w:rPr>
            </w:pPr>
            <w:r w:rsidRPr="00466AF3">
              <w:rPr>
                <w:b/>
                <w:bCs/>
              </w:rPr>
              <w:t>Seminar Leader Readings:</w:t>
            </w:r>
          </w:p>
          <w:p w14:paraId="51553C23" w14:textId="77777777" w:rsidR="000F5E12" w:rsidRPr="00704222" w:rsidRDefault="000F5E12" w:rsidP="00D571B3">
            <w:pPr>
              <w:pStyle w:val="ListParagraph"/>
              <w:numPr>
                <w:ilvl w:val="0"/>
                <w:numId w:val="19"/>
              </w:numPr>
            </w:pPr>
            <w:r w:rsidRPr="00704222">
              <w:t xml:space="preserve">Jacques </w:t>
            </w:r>
            <w:proofErr w:type="spellStart"/>
            <w:r w:rsidRPr="00704222">
              <w:t>Attali</w:t>
            </w:r>
            <w:proofErr w:type="spellEnd"/>
            <w:r w:rsidRPr="00704222">
              <w:t xml:space="preserve">, </w:t>
            </w:r>
            <w:r w:rsidRPr="00704222">
              <w:rPr>
                <w:i/>
                <w:iCs/>
              </w:rPr>
              <w:t>A Brief History of the Future</w:t>
            </w:r>
            <w:r w:rsidRPr="00704222">
              <w:t>, Arcade Publishing, 2006</w:t>
            </w:r>
          </w:p>
          <w:p w14:paraId="4DF0D917" w14:textId="77777777" w:rsidR="000F5E12" w:rsidRDefault="000F5E12" w:rsidP="00D571B3">
            <w:pPr>
              <w:pStyle w:val="ListParagraph"/>
              <w:numPr>
                <w:ilvl w:val="1"/>
                <w:numId w:val="19"/>
              </w:numPr>
            </w:pPr>
            <w:r w:rsidRPr="00704222">
              <w:t>“A Brief History of Capitalism” pp. 19-104</w:t>
            </w:r>
          </w:p>
        </w:tc>
      </w:tr>
      <w:tr w:rsidR="000F5E12" w14:paraId="6093512B" w14:textId="77777777" w:rsidTr="00D571B3">
        <w:tc>
          <w:tcPr>
            <w:tcW w:w="9350" w:type="dxa"/>
            <w:gridSpan w:val="2"/>
          </w:tcPr>
          <w:p w14:paraId="44918D18" w14:textId="77777777" w:rsidR="000F5E12" w:rsidRPr="00466AF3" w:rsidRDefault="000F5E12" w:rsidP="00D571B3">
            <w:pPr>
              <w:rPr>
                <w:b/>
                <w:bCs/>
              </w:rPr>
            </w:pPr>
            <w:r w:rsidRPr="00466AF3">
              <w:rPr>
                <w:b/>
                <w:bCs/>
              </w:rPr>
              <w:t>Seminar Leaders:</w:t>
            </w:r>
          </w:p>
          <w:p w14:paraId="1EDEB35A" w14:textId="77777777" w:rsidR="000F5E12" w:rsidRDefault="000F5E12" w:rsidP="00D571B3">
            <w:r>
              <w:t>TBD</w:t>
            </w:r>
          </w:p>
        </w:tc>
      </w:tr>
    </w:tbl>
    <w:p w14:paraId="0E9DD7C9" w14:textId="77777777" w:rsidR="000F5E12" w:rsidRDefault="000F5E12" w:rsidP="000F5E12"/>
    <w:p w14:paraId="586BE27B" w14:textId="77777777" w:rsidR="000F5E12" w:rsidRDefault="000F5E12" w:rsidP="000F5E12"/>
    <w:p w14:paraId="3DDC65D2" w14:textId="77777777" w:rsidR="000F5E12" w:rsidRDefault="000F5E12" w:rsidP="000F5E12"/>
    <w:p w14:paraId="4B3AFAA9" w14:textId="77777777" w:rsidR="000F5E12" w:rsidRDefault="000F5E12" w:rsidP="000F5E12"/>
    <w:p w14:paraId="30AF0946" w14:textId="77777777" w:rsidR="000F5E12" w:rsidRDefault="000F5E12" w:rsidP="000F5E12"/>
    <w:p w14:paraId="4603A124" w14:textId="77777777" w:rsidR="000F5E12" w:rsidRDefault="000F5E12" w:rsidP="000F5E12"/>
    <w:p w14:paraId="1449AC56" w14:textId="77777777" w:rsidR="000F5E12" w:rsidRDefault="000F5E12" w:rsidP="000F5E12"/>
    <w:p w14:paraId="696512F1" w14:textId="77777777" w:rsidR="000F5E12" w:rsidRDefault="000F5E12" w:rsidP="000F5E12"/>
    <w:tbl>
      <w:tblPr>
        <w:tblStyle w:val="TableGrid"/>
        <w:tblW w:w="0" w:type="auto"/>
        <w:tblLook w:val="04A0" w:firstRow="1" w:lastRow="0" w:firstColumn="1" w:lastColumn="0" w:noHBand="0" w:noVBand="1"/>
      </w:tblPr>
      <w:tblGrid>
        <w:gridCol w:w="2547"/>
        <w:gridCol w:w="6803"/>
      </w:tblGrid>
      <w:tr w:rsidR="000F5E12" w14:paraId="735349CD" w14:textId="77777777" w:rsidTr="00D571B3">
        <w:tc>
          <w:tcPr>
            <w:tcW w:w="2547" w:type="dxa"/>
          </w:tcPr>
          <w:p w14:paraId="65948E20" w14:textId="77777777" w:rsidR="000F5E12" w:rsidRDefault="000F5E12" w:rsidP="00D571B3">
            <w:r w:rsidRPr="00466AF3">
              <w:rPr>
                <w:b/>
                <w:bCs/>
              </w:rPr>
              <w:t xml:space="preserve">Week </w:t>
            </w:r>
            <w:r>
              <w:rPr>
                <w:b/>
                <w:bCs/>
              </w:rPr>
              <w:t>5</w:t>
            </w:r>
            <w:r>
              <w:t xml:space="preserve"> (February 4)</w:t>
            </w:r>
          </w:p>
        </w:tc>
        <w:tc>
          <w:tcPr>
            <w:tcW w:w="6803" w:type="dxa"/>
          </w:tcPr>
          <w:p w14:paraId="0F1D5505" w14:textId="77777777" w:rsidR="000F5E12" w:rsidRPr="00466AF3" w:rsidRDefault="000F5E12" w:rsidP="00D571B3">
            <w:pPr>
              <w:rPr>
                <w:b/>
                <w:bCs/>
              </w:rPr>
            </w:pPr>
            <w:r w:rsidRPr="001646A5">
              <w:rPr>
                <w:b/>
                <w:bCs/>
              </w:rPr>
              <w:t>Clusters, Industrial Districts &amp; Economic Hubs</w:t>
            </w:r>
          </w:p>
        </w:tc>
      </w:tr>
      <w:tr w:rsidR="000F5E12" w14:paraId="60C35C6B" w14:textId="77777777" w:rsidTr="00D571B3">
        <w:tc>
          <w:tcPr>
            <w:tcW w:w="9350" w:type="dxa"/>
            <w:gridSpan w:val="2"/>
          </w:tcPr>
          <w:p w14:paraId="5D432506" w14:textId="77777777" w:rsidR="000F5E12" w:rsidRPr="00466AF3" w:rsidRDefault="000F5E12" w:rsidP="00D571B3">
            <w:pPr>
              <w:rPr>
                <w:b/>
                <w:bCs/>
              </w:rPr>
            </w:pPr>
            <w:r w:rsidRPr="00466AF3">
              <w:rPr>
                <w:b/>
                <w:bCs/>
              </w:rPr>
              <w:t>Overview:</w:t>
            </w:r>
          </w:p>
          <w:p w14:paraId="73F03237" w14:textId="77777777" w:rsidR="000F5E12" w:rsidRDefault="000F5E12" w:rsidP="00D571B3">
            <w:r>
              <w:t xml:space="preserve">In this class, we begin to look at applying theoretical and historic lessons of cluster development in new and emerging areas of development activity. How can clusters be created? How can economic developers link assets to promote future growth within their region? </w:t>
            </w:r>
          </w:p>
        </w:tc>
      </w:tr>
      <w:tr w:rsidR="000F5E12" w14:paraId="584292F1" w14:textId="77777777" w:rsidTr="00D571B3">
        <w:tc>
          <w:tcPr>
            <w:tcW w:w="9350" w:type="dxa"/>
            <w:gridSpan w:val="2"/>
          </w:tcPr>
          <w:p w14:paraId="41BD5933" w14:textId="77777777" w:rsidR="000F5E12" w:rsidRPr="00466AF3" w:rsidRDefault="000F5E12" w:rsidP="00D571B3">
            <w:pPr>
              <w:rPr>
                <w:b/>
                <w:bCs/>
              </w:rPr>
            </w:pPr>
            <w:r w:rsidRPr="00466AF3">
              <w:rPr>
                <w:b/>
                <w:bCs/>
              </w:rPr>
              <w:t>Readings:</w:t>
            </w:r>
          </w:p>
          <w:p w14:paraId="1813DBB0" w14:textId="77777777" w:rsidR="000F5E12" w:rsidRDefault="000F5E12" w:rsidP="00D571B3">
            <w:pPr>
              <w:pStyle w:val="ListParagraph"/>
              <w:numPr>
                <w:ilvl w:val="0"/>
                <w:numId w:val="20"/>
              </w:numPr>
            </w:pPr>
            <w:r>
              <w:t xml:space="preserve">Yossi </w:t>
            </w:r>
            <w:proofErr w:type="spellStart"/>
            <w:r>
              <w:t>Sheffi</w:t>
            </w:r>
            <w:proofErr w:type="spellEnd"/>
            <w:r>
              <w:t xml:space="preserve">, </w:t>
            </w:r>
            <w:r w:rsidRPr="00C6756F">
              <w:t>Logistics Clusters</w:t>
            </w:r>
            <w:r>
              <w:t>, MIT Press, 2014</w:t>
            </w:r>
          </w:p>
          <w:p w14:paraId="4CDFA077" w14:textId="77777777" w:rsidR="000F5E12" w:rsidRDefault="000F5E12" w:rsidP="00D571B3">
            <w:pPr>
              <w:pStyle w:val="ListParagraph"/>
              <w:numPr>
                <w:ilvl w:val="1"/>
                <w:numId w:val="20"/>
              </w:numPr>
            </w:pPr>
            <w:r>
              <w:t>“The Art &amp; Technology of Economic Clustering”, pp. 27-54</w:t>
            </w:r>
          </w:p>
          <w:p w14:paraId="3A1BD18B" w14:textId="77777777" w:rsidR="000F5E12" w:rsidRDefault="000F5E12" w:rsidP="00D571B3">
            <w:pPr>
              <w:pStyle w:val="ListParagraph"/>
              <w:numPr>
                <w:ilvl w:val="0"/>
                <w:numId w:val="20"/>
              </w:numPr>
            </w:pPr>
            <w:r>
              <w:t xml:space="preserve">Brookings Institution, Rethinking Cluster Initiatives, July 2018, pp. 1-52 found at </w:t>
            </w:r>
            <w:hyperlink r:id="rId21" w:history="1">
              <w:r w:rsidRPr="004C510E">
                <w:rPr>
                  <w:rStyle w:val="Hyperlink"/>
                </w:rPr>
                <w:t>https://www.brookings.edu/wp-content/uploads/2018/07/201807_Brookings-Metro_Rethinking-Clusters-Initiatives_Full-report-final.pdf</w:t>
              </w:r>
            </w:hyperlink>
          </w:p>
        </w:tc>
      </w:tr>
      <w:tr w:rsidR="000F5E12" w14:paraId="37545D92" w14:textId="77777777" w:rsidTr="00D571B3">
        <w:tc>
          <w:tcPr>
            <w:tcW w:w="9350" w:type="dxa"/>
            <w:gridSpan w:val="2"/>
          </w:tcPr>
          <w:p w14:paraId="0D0C1267" w14:textId="77777777" w:rsidR="000F5E12" w:rsidRPr="00466AF3" w:rsidRDefault="000F5E12" w:rsidP="00D571B3">
            <w:pPr>
              <w:rPr>
                <w:b/>
                <w:bCs/>
              </w:rPr>
            </w:pPr>
            <w:r w:rsidRPr="00466AF3">
              <w:rPr>
                <w:b/>
                <w:bCs/>
              </w:rPr>
              <w:t>Seminar Leader Readings:</w:t>
            </w:r>
          </w:p>
          <w:p w14:paraId="232AADA5" w14:textId="77777777" w:rsidR="000F5E12" w:rsidRDefault="000F5E12" w:rsidP="00D571B3">
            <w:pPr>
              <w:pStyle w:val="ListParagraph"/>
              <w:numPr>
                <w:ilvl w:val="0"/>
                <w:numId w:val="20"/>
              </w:numPr>
            </w:pPr>
            <w:r w:rsidRPr="00BC563F">
              <w:t>Casey Dawkins, “Regional Development Theory: Conceptual Foundations, Classic Works and Recent Developments”, Journal of Planning Literature, November 2003, pp. 131-172 (read to p. 152 only)</w:t>
            </w:r>
            <w:r>
              <w:t xml:space="preserve"> </w:t>
            </w:r>
          </w:p>
        </w:tc>
      </w:tr>
      <w:tr w:rsidR="000F5E12" w14:paraId="4B240258" w14:textId="77777777" w:rsidTr="00D571B3">
        <w:tc>
          <w:tcPr>
            <w:tcW w:w="9350" w:type="dxa"/>
            <w:gridSpan w:val="2"/>
          </w:tcPr>
          <w:p w14:paraId="3A968095" w14:textId="77777777" w:rsidR="000F5E12" w:rsidRPr="00466AF3" w:rsidRDefault="000F5E12" w:rsidP="00D571B3">
            <w:pPr>
              <w:rPr>
                <w:b/>
                <w:bCs/>
              </w:rPr>
            </w:pPr>
            <w:r w:rsidRPr="00466AF3">
              <w:rPr>
                <w:b/>
                <w:bCs/>
              </w:rPr>
              <w:t>Seminar Leaders:</w:t>
            </w:r>
          </w:p>
          <w:p w14:paraId="3ACFA61A" w14:textId="77777777" w:rsidR="000F5E12" w:rsidRDefault="000F5E12" w:rsidP="00D571B3">
            <w:r>
              <w:t>TBD</w:t>
            </w:r>
          </w:p>
        </w:tc>
      </w:tr>
    </w:tbl>
    <w:p w14:paraId="3F7ACE13" w14:textId="77777777" w:rsidR="000F5E12" w:rsidRDefault="000F5E12" w:rsidP="000F5E12"/>
    <w:tbl>
      <w:tblPr>
        <w:tblStyle w:val="TableGrid"/>
        <w:tblW w:w="0" w:type="auto"/>
        <w:tblLook w:val="04A0" w:firstRow="1" w:lastRow="0" w:firstColumn="1" w:lastColumn="0" w:noHBand="0" w:noVBand="1"/>
      </w:tblPr>
      <w:tblGrid>
        <w:gridCol w:w="2928"/>
        <w:gridCol w:w="6422"/>
      </w:tblGrid>
      <w:tr w:rsidR="000F5E12" w14:paraId="5800B26C" w14:textId="77777777" w:rsidTr="00D571B3">
        <w:tc>
          <w:tcPr>
            <w:tcW w:w="2547" w:type="dxa"/>
          </w:tcPr>
          <w:p w14:paraId="65407C27" w14:textId="77777777" w:rsidR="000F5E12" w:rsidRDefault="000F5E12" w:rsidP="00D571B3">
            <w:r w:rsidRPr="00466AF3">
              <w:rPr>
                <w:b/>
                <w:bCs/>
              </w:rPr>
              <w:t xml:space="preserve">Week </w:t>
            </w:r>
            <w:r>
              <w:rPr>
                <w:b/>
                <w:bCs/>
              </w:rPr>
              <w:t>6</w:t>
            </w:r>
            <w:r>
              <w:t xml:space="preserve"> (February 11)</w:t>
            </w:r>
          </w:p>
        </w:tc>
        <w:tc>
          <w:tcPr>
            <w:tcW w:w="6803" w:type="dxa"/>
          </w:tcPr>
          <w:p w14:paraId="75E7C86B" w14:textId="77777777" w:rsidR="000F5E12" w:rsidRPr="00466AF3" w:rsidRDefault="000F5E12" w:rsidP="00D571B3">
            <w:pPr>
              <w:rPr>
                <w:b/>
                <w:bCs/>
              </w:rPr>
            </w:pPr>
            <w:r w:rsidRPr="00AA2AAD">
              <w:rPr>
                <w:b/>
                <w:bCs/>
              </w:rPr>
              <w:t>Knowledge, Learning &amp; Networks</w:t>
            </w:r>
          </w:p>
        </w:tc>
      </w:tr>
      <w:tr w:rsidR="000F5E12" w14:paraId="18D49684" w14:textId="77777777" w:rsidTr="00D571B3">
        <w:tc>
          <w:tcPr>
            <w:tcW w:w="9350" w:type="dxa"/>
            <w:gridSpan w:val="2"/>
          </w:tcPr>
          <w:p w14:paraId="2DC9B553" w14:textId="77777777" w:rsidR="000F5E12" w:rsidRPr="00466AF3" w:rsidRDefault="000F5E12" w:rsidP="00D571B3">
            <w:pPr>
              <w:rPr>
                <w:b/>
                <w:bCs/>
              </w:rPr>
            </w:pPr>
            <w:r w:rsidRPr="00466AF3">
              <w:rPr>
                <w:b/>
                <w:bCs/>
              </w:rPr>
              <w:t>Overview:</w:t>
            </w:r>
          </w:p>
          <w:p w14:paraId="2E3DEDB2" w14:textId="77777777" w:rsidR="000F5E12" w:rsidRDefault="000F5E12" w:rsidP="00D571B3">
            <w:r>
              <w:t>This class will examine the increasingly complex connections between education, training, workforce and innovation in an economic development context. This will include an exploration of how networks of innovators and physical structures such as incubators and makerspaces combine to link talent to development opportunities in emerging industry clusters.</w:t>
            </w:r>
          </w:p>
        </w:tc>
      </w:tr>
      <w:tr w:rsidR="000F5E12" w14:paraId="527A594F" w14:textId="77777777" w:rsidTr="00D571B3">
        <w:tc>
          <w:tcPr>
            <w:tcW w:w="9350" w:type="dxa"/>
            <w:gridSpan w:val="2"/>
          </w:tcPr>
          <w:p w14:paraId="2E9EF90E" w14:textId="77777777" w:rsidR="000F5E12" w:rsidRPr="00466AF3" w:rsidRDefault="000F5E12" w:rsidP="00D571B3">
            <w:pPr>
              <w:rPr>
                <w:b/>
                <w:bCs/>
              </w:rPr>
            </w:pPr>
            <w:r w:rsidRPr="00466AF3">
              <w:rPr>
                <w:b/>
                <w:bCs/>
              </w:rPr>
              <w:t>Readings:</w:t>
            </w:r>
          </w:p>
          <w:p w14:paraId="23C56348" w14:textId="77777777" w:rsidR="000F5E12" w:rsidRDefault="000F5E12" w:rsidP="00D571B3">
            <w:pPr>
              <w:pStyle w:val="ListParagraph"/>
              <w:numPr>
                <w:ilvl w:val="0"/>
                <w:numId w:val="21"/>
              </w:numPr>
            </w:pPr>
            <w:r>
              <w:t xml:space="preserve">Chris Anderson, </w:t>
            </w:r>
            <w:r w:rsidRPr="00572988">
              <w:rPr>
                <w:i/>
                <w:iCs/>
              </w:rPr>
              <w:t>Makers</w:t>
            </w:r>
            <w:r>
              <w:t>, Signal Books, 2014</w:t>
            </w:r>
          </w:p>
          <w:p w14:paraId="667E88C9" w14:textId="77777777" w:rsidR="000F5E12" w:rsidRDefault="000F5E12" w:rsidP="00D571B3">
            <w:pPr>
              <w:pStyle w:val="ListParagraph"/>
              <w:numPr>
                <w:ilvl w:val="0"/>
                <w:numId w:val="27"/>
              </w:numPr>
            </w:pPr>
            <w:r>
              <w:t>“Open Hardware”, pp. 99-118</w:t>
            </w:r>
          </w:p>
          <w:p w14:paraId="1F5279BD" w14:textId="77777777" w:rsidR="000F5E12" w:rsidRDefault="000F5E12" w:rsidP="00D571B3">
            <w:pPr>
              <w:pStyle w:val="ListParagraph"/>
              <w:numPr>
                <w:ilvl w:val="0"/>
                <w:numId w:val="27"/>
              </w:numPr>
            </w:pPr>
            <w:r>
              <w:t>“Epilogue: The New Shape of the Industrial World”, pp. 225-229</w:t>
            </w:r>
          </w:p>
          <w:p w14:paraId="3A14FEA9" w14:textId="77777777" w:rsidR="000F5E12" w:rsidRDefault="000F5E12" w:rsidP="00D571B3">
            <w:pPr>
              <w:pStyle w:val="ListParagraph"/>
              <w:numPr>
                <w:ilvl w:val="0"/>
                <w:numId w:val="21"/>
              </w:numPr>
            </w:pPr>
            <w:r w:rsidRPr="009136F1">
              <w:t xml:space="preserve">Brock Dickinson, “Emerging Practices in Cleantech Incubation”, </w:t>
            </w:r>
            <w:r>
              <w:t xml:space="preserve">2019, </w:t>
            </w:r>
            <w:r w:rsidRPr="009136F1">
              <w:t>pp. 1-24.</w:t>
            </w:r>
          </w:p>
        </w:tc>
      </w:tr>
      <w:tr w:rsidR="000F5E12" w14:paraId="71E7F59D" w14:textId="77777777" w:rsidTr="00D571B3">
        <w:tc>
          <w:tcPr>
            <w:tcW w:w="9350" w:type="dxa"/>
            <w:gridSpan w:val="2"/>
          </w:tcPr>
          <w:p w14:paraId="3AC10337" w14:textId="77777777" w:rsidR="000F5E12" w:rsidRPr="00466AF3" w:rsidRDefault="000F5E12" w:rsidP="00D571B3">
            <w:pPr>
              <w:rPr>
                <w:b/>
                <w:bCs/>
              </w:rPr>
            </w:pPr>
            <w:r w:rsidRPr="00466AF3">
              <w:rPr>
                <w:b/>
                <w:bCs/>
              </w:rPr>
              <w:t>Seminar Leader Readings:</w:t>
            </w:r>
          </w:p>
          <w:p w14:paraId="19A534D1" w14:textId="77777777" w:rsidR="000F5E12" w:rsidRDefault="000F5E12" w:rsidP="00D571B3">
            <w:pPr>
              <w:pStyle w:val="ListParagraph"/>
              <w:numPr>
                <w:ilvl w:val="0"/>
                <w:numId w:val="21"/>
              </w:numPr>
            </w:pPr>
            <w:r>
              <w:t xml:space="preserve">Alessandro Proto et al, “Knowledge Networks and Their Impact on New and Small Firms in Local Economies: The Case Studies of the Autonomous Province of Trento and Magdeburg”, 2012, found at: </w:t>
            </w:r>
            <w:hyperlink r:id="rId22" w:history="1">
              <w:r>
                <w:rPr>
                  <w:rStyle w:val="Hyperlink"/>
                </w:rPr>
                <w:t>https://www.oecd-ilibrary.org/docserver/5k9gs1cr080x-en.pdf?expires=1579367726&amp;id=id&amp;accname=guest&amp;checksum=450594E69E52FB76FFE0378FACEAF868</w:t>
              </w:r>
            </w:hyperlink>
            <w:r>
              <w:t xml:space="preserve">, pp. 12-29, 45-104 </w:t>
            </w:r>
          </w:p>
        </w:tc>
      </w:tr>
      <w:tr w:rsidR="000F5E12" w14:paraId="0B8C339D" w14:textId="77777777" w:rsidTr="00D571B3">
        <w:tc>
          <w:tcPr>
            <w:tcW w:w="9350" w:type="dxa"/>
            <w:gridSpan w:val="2"/>
          </w:tcPr>
          <w:p w14:paraId="6AC67102" w14:textId="77777777" w:rsidR="000F5E12" w:rsidRPr="00466AF3" w:rsidRDefault="000F5E12" w:rsidP="00D571B3">
            <w:pPr>
              <w:rPr>
                <w:b/>
                <w:bCs/>
              </w:rPr>
            </w:pPr>
            <w:r w:rsidRPr="00466AF3">
              <w:rPr>
                <w:b/>
                <w:bCs/>
              </w:rPr>
              <w:t>Seminar Leaders:</w:t>
            </w:r>
          </w:p>
          <w:p w14:paraId="59EA45FF" w14:textId="77777777" w:rsidR="000F5E12" w:rsidRDefault="000F5E12" w:rsidP="00D571B3">
            <w:r>
              <w:t>TBD</w:t>
            </w:r>
          </w:p>
        </w:tc>
      </w:tr>
    </w:tbl>
    <w:p w14:paraId="1CA4B7B3" w14:textId="77777777" w:rsidR="000F5E12" w:rsidRDefault="000F5E12" w:rsidP="000F5E12"/>
    <w:tbl>
      <w:tblPr>
        <w:tblStyle w:val="TableGrid"/>
        <w:tblW w:w="0" w:type="auto"/>
        <w:tblLook w:val="04A0" w:firstRow="1" w:lastRow="0" w:firstColumn="1" w:lastColumn="0" w:noHBand="0" w:noVBand="1"/>
      </w:tblPr>
      <w:tblGrid>
        <w:gridCol w:w="2547"/>
        <w:gridCol w:w="6803"/>
      </w:tblGrid>
      <w:tr w:rsidR="000F5E12" w14:paraId="0F7F50C0" w14:textId="77777777" w:rsidTr="00D571B3">
        <w:tc>
          <w:tcPr>
            <w:tcW w:w="2547" w:type="dxa"/>
          </w:tcPr>
          <w:p w14:paraId="76280133" w14:textId="77777777" w:rsidR="000F5E12" w:rsidRDefault="000F5E12" w:rsidP="00D571B3">
            <w:r w:rsidRPr="00466AF3">
              <w:rPr>
                <w:b/>
                <w:bCs/>
              </w:rPr>
              <w:t xml:space="preserve">Week </w:t>
            </w:r>
            <w:r>
              <w:rPr>
                <w:b/>
                <w:bCs/>
              </w:rPr>
              <w:t>7</w:t>
            </w:r>
            <w:r>
              <w:t xml:space="preserve"> (February 18)</w:t>
            </w:r>
          </w:p>
        </w:tc>
        <w:tc>
          <w:tcPr>
            <w:tcW w:w="6803" w:type="dxa"/>
          </w:tcPr>
          <w:p w14:paraId="77C3040D" w14:textId="77777777" w:rsidR="000F5E12" w:rsidRPr="00466AF3" w:rsidRDefault="000F5E12" w:rsidP="00D571B3">
            <w:pPr>
              <w:rPr>
                <w:b/>
                <w:bCs/>
              </w:rPr>
            </w:pPr>
            <w:r>
              <w:rPr>
                <w:b/>
                <w:bCs/>
              </w:rPr>
              <w:t>Reading Week</w:t>
            </w:r>
          </w:p>
        </w:tc>
      </w:tr>
    </w:tbl>
    <w:p w14:paraId="22498A21" w14:textId="77777777" w:rsidR="000F5E12" w:rsidRDefault="000F5E12" w:rsidP="000F5E12"/>
    <w:p w14:paraId="7A44C630" w14:textId="77777777" w:rsidR="000F5E12" w:rsidRDefault="000F5E12" w:rsidP="000F5E12"/>
    <w:p w14:paraId="3B74141A" w14:textId="77777777" w:rsidR="000F5E12" w:rsidRDefault="000F5E12" w:rsidP="000F5E12"/>
    <w:p w14:paraId="6F33FC3D" w14:textId="77777777" w:rsidR="000F5E12" w:rsidRDefault="000F5E12" w:rsidP="000F5E12"/>
    <w:p w14:paraId="3860A559" w14:textId="77777777" w:rsidR="000F5E12" w:rsidRDefault="000F5E12" w:rsidP="000F5E12"/>
    <w:p w14:paraId="6EB42477" w14:textId="77777777" w:rsidR="000F5E12" w:rsidRDefault="000F5E12" w:rsidP="000F5E12"/>
    <w:tbl>
      <w:tblPr>
        <w:tblStyle w:val="TableGrid"/>
        <w:tblW w:w="0" w:type="auto"/>
        <w:tblLook w:val="04A0" w:firstRow="1" w:lastRow="0" w:firstColumn="1" w:lastColumn="0" w:noHBand="0" w:noVBand="1"/>
      </w:tblPr>
      <w:tblGrid>
        <w:gridCol w:w="2547"/>
        <w:gridCol w:w="6803"/>
      </w:tblGrid>
      <w:tr w:rsidR="000F5E12" w14:paraId="3203CA20" w14:textId="77777777" w:rsidTr="00D571B3">
        <w:tc>
          <w:tcPr>
            <w:tcW w:w="2547" w:type="dxa"/>
          </w:tcPr>
          <w:p w14:paraId="0FE7E0F8" w14:textId="77777777" w:rsidR="000F5E12" w:rsidRDefault="000F5E12" w:rsidP="00D571B3">
            <w:r w:rsidRPr="00466AF3">
              <w:rPr>
                <w:b/>
                <w:bCs/>
              </w:rPr>
              <w:t xml:space="preserve">Week </w:t>
            </w:r>
            <w:r>
              <w:rPr>
                <w:b/>
                <w:bCs/>
              </w:rPr>
              <w:t>8</w:t>
            </w:r>
            <w:r>
              <w:t xml:space="preserve"> (February 25)</w:t>
            </w:r>
          </w:p>
        </w:tc>
        <w:tc>
          <w:tcPr>
            <w:tcW w:w="6803" w:type="dxa"/>
          </w:tcPr>
          <w:p w14:paraId="4DAE47C2" w14:textId="77777777" w:rsidR="000F5E12" w:rsidRPr="00466AF3" w:rsidRDefault="000F5E12" w:rsidP="00D571B3">
            <w:pPr>
              <w:rPr>
                <w:b/>
                <w:bCs/>
              </w:rPr>
            </w:pPr>
            <w:r w:rsidRPr="00AA2AAD">
              <w:rPr>
                <w:b/>
                <w:bCs/>
              </w:rPr>
              <w:t>Talent, Skill &amp; the Creative Class</w:t>
            </w:r>
          </w:p>
        </w:tc>
      </w:tr>
      <w:tr w:rsidR="000F5E12" w14:paraId="570CBB13" w14:textId="77777777" w:rsidTr="00D571B3">
        <w:tc>
          <w:tcPr>
            <w:tcW w:w="9350" w:type="dxa"/>
            <w:gridSpan w:val="2"/>
          </w:tcPr>
          <w:p w14:paraId="566DEFA3" w14:textId="77777777" w:rsidR="000F5E12" w:rsidRPr="00466AF3" w:rsidRDefault="000F5E12" w:rsidP="00D571B3">
            <w:pPr>
              <w:rPr>
                <w:b/>
                <w:bCs/>
              </w:rPr>
            </w:pPr>
            <w:r w:rsidRPr="00466AF3">
              <w:rPr>
                <w:b/>
                <w:bCs/>
              </w:rPr>
              <w:t>Overview:</w:t>
            </w:r>
          </w:p>
          <w:p w14:paraId="528F1B07" w14:textId="77777777" w:rsidR="000F5E12" w:rsidRDefault="000F5E12" w:rsidP="00D571B3">
            <w:r>
              <w:t>This class explores how Richard Florida and others expressed the links between talent, innovation &amp; development. It uses this approach to understand how talent development, attraction and retention has become a major feature of contemporary economic development practice.</w:t>
            </w:r>
          </w:p>
        </w:tc>
      </w:tr>
      <w:tr w:rsidR="000F5E12" w14:paraId="159BA2AE" w14:textId="77777777" w:rsidTr="00D571B3">
        <w:tc>
          <w:tcPr>
            <w:tcW w:w="9350" w:type="dxa"/>
            <w:gridSpan w:val="2"/>
          </w:tcPr>
          <w:p w14:paraId="1E71B872" w14:textId="77777777" w:rsidR="000F5E12" w:rsidRPr="00466AF3" w:rsidRDefault="000F5E12" w:rsidP="00D571B3">
            <w:pPr>
              <w:rPr>
                <w:b/>
                <w:bCs/>
              </w:rPr>
            </w:pPr>
            <w:r w:rsidRPr="00466AF3">
              <w:rPr>
                <w:b/>
                <w:bCs/>
              </w:rPr>
              <w:t>Readings:</w:t>
            </w:r>
          </w:p>
          <w:p w14:paraId="0BBDC083" w14:textId="77777777" w:rsidR="000F5E12" w:rsidRDefault="000F5E12" w:rsidP="00D571B3">
            <w:pPr>
              <w:pStyle w:val="ListParagraph"/>
              <w:numPr>
                <w:ilvl w:val="0"/>
                <w:numId w:val="22"/>
              </w:numPr>
            </w:pPr>
            <w:r>
              <w:t xml:space="preserve">Richard Florida, “The Creative Class and Economic Development”, </w:t>
            </w:r>
            <w:r w:rsidRPr="00B86DCF">
              <w:rPr>
                <w:i/>
                <w:iCs/>
              </w:rPr>
              <w:t>Economic Development Quarterly</w:t>
            </w:r>
            <w:r>
              <w:t xml:space="preserve">, July 2014, pp. 196-205 </w:t>
            </w:r>
            <w:hyperlink r:id="rId23" w:history="1">
              <w:r>
                <w:rPr>
                  <w:rStyle w:val="Hyperlink"/>
                </w:rPr>
                <w:t>https://journals.sagepub.com/doi/abs/10.1177/0891242414541693</w:t>
              </w:r>
            </w:hyperlink>
          </w:p>
          <w:p w14:paraId="098F25EE" w14:textId="77777777" w:rsidR="000F5E12" w:rsidRDefault="000F5E12" w:rsidP="00D571B3">
            <w:pPr>
              <w:pStyle w:val="ListParagraph"/>
              <w:numPr>
                <w:ilvl w:val="0"/>
                <w:numId w:val="22"/>
              </w:numPr>
            </w:pPr>
            <w:r>
              <w:t xml:space="preserve">Richard Florida, “The World is Spiky,” </w:t>
            </w:r>
            <w:r w:rsidRPr="00B86DCF">
              <w:rPr>
                <w:i/>
                <w:iCs/>
              </w:rPr>
              <w:t>Atlantic Monthly</w:t>
            </w:r>
            <w:r>
              <w:t xml:space="preserve">, October 2005, pp. 48-51 </w:t>
            </w:r>
            <w:hyperlink r:id="rId24" w:history="1">
              <w:r w:rsidRPr="00BE3E11">
                <w:rPr>
                  <w:rStyle w:val="Hyperlink"/>
                </w:rPr>
                <w:t>https://www.theatlantic.com/past/docs/images/issues/200510/world-is-spiky.pdf</w:t>
              </w:r>
            </w:hyperlink>
          </w:p>
          <w:p w14:paraId="53AEC1C0" w14:textId="77777777" w:rsidR="000F5E12" w:rsidRDefault="000F5E12" w:rsidP="00D571B3">
            <w:pPr>
              <w:pStyle w:val="ListParagraph"/>
              <w:numPr>
                <w:ilvl w:val="0"/>
                <w:numId w:val="22"/>
              </w:numPr>
            </w:pPr>
            <w:r>
              <w:t xml:space="preserve">Richard Florida, </w:t>
            </w:r>
            <w:r w:rsidRPr="00DD1D77">
              <w:rPr>
                <w:i/>
                <w:iCs/>
              </w:rPr>
              <w:t xml:space="preserve">Who’s Your </w:t>
            </w:r>
            <w:proofErr w:type="gramStart"/>
            <w:r w:rsidRPr="00DD1D77">
              <w:rPr>
                <w:i/>
                <w:iCs/>
              </w:rPr>
              <w:t>City?</w:t>
            </w:r>
            <w:r>
              <w:rPr>
                <w:i/>
                <w:iCs/>
              </w:rPr>
              <w:t>,</w:t>
            </w:r>
            <w:proofErr w:type="gramEnd"/>
            <w:r>
              <w:t xml:space="preserve"> Random House, 2008</w:t>
            </w:r>
          </w:p>
          <w:p w14:paraId="724BB59E" w14:textId="77777777" w:rsidR="000F5E12" w:rsidRDefault="000F5E12" w:rsidP="00D571B3">
            <w:pPr>
              <w:pStyle w:val="ListParagraph"/>
              <w:numPr>
                <w:ilvl w:val="1"/>
                <w:numId w:val="22"/>
              </w:numPr>
            </w:pPr>
            <w:r>
              <w:t>“The Mobile and the Rooted” pp. 79-89</w:t>
            </w:r>
          </w:p>
          <w:p w14:paraId="5D836A8E" w14:textId="77777777" w:rsidR="000F5E12" w:rsidRDefault="000F5E12" w:rsidP="00D571B3">
            <w:pPr>
              <w:pStyle w:val="ListParagraph"/>
              <w:numPr>
                <w:ilvl w:val="1"/>
                <w:numId w:val="22"/>
              </w:numPr>
            </w:pPr>
            <w:r>
              <w:t>“Where the Brains Are” pp. 91-99</w:t>
            </w:r>
          </w:p>
        </w:tc>
      </w:tr>
      <w:tr w:rsidR="000F5E12" w14:paraId="7CFD2C25" w14:textId="77777777" w:rsidTr="00D571B3">
        <w:tc>
          <w:tcPr>
            <w:tcW w:w="9350" w:type="dxa"/>
            <w:gridSpan w:val="2"/>
          </w:tcPr>
          <w:p w14:paraId="0EBC9F91" w14:textId="77777777" w:rsidR="000F5E12" w:rsidRPr="00466AF3" w:rsidRDefault="000F5E12" w:rsidP="00D571B3">
            <w:pPr>
              <w:rPr>
                <w:b/>
                <w:bCs/>
              </w:rPr>
            </w:pPr>
            <w:r w:rsidRPr="00466AF3">
              <w:rPr>
                <w:b/>
                <w:bCs/>
              </w:rPr>
              <w:t>Seminar Leader Readings:</w:t>
            </w:r>
          </w:p>
          <w:p w14:paraId="7542338C" w14:textId="77777777" w:rsidR="000F5E12" w:rsidRPr="00CE780F" w:rsidRDefault="000F5E12" w:rsidP="00D571B3">
            <w:pPr>
              <w:pStyle w:val="ListParagraph"/>
              <w:numPr>
                <w:ilvl w:val="0"/>
                <w:numId w:val="22"/>
              </w:numPr>
            </w:pPr>
            <w:r>
              <w:t xml:space="preserve">Edward E. Gordon, </w:t>
            </w:r>
            <w:r w:rsidRPr="00DD1D77">
              <w:rPr>
                <w:i/>
                <w:iCs/>
              </w:rPr>
              <w:t>Winning the Global Talent Showdown</w:t>
            </w:r>
            <w:r w:rsidRPr="00B14030">
              <w:t>, Berrett-Koehler Publishers, 2009</w:t>
            </w:r>
          </w:p>
          <w:p w14:paraId="07C072B5" w14:textId="77777777" w:rsidR="000F5E12" w:rsidRDefault="000F5E12" w:rsidP="00D571B3">
            <w:pPr>
              <w:pStyle w:val="ListParagraph"/>
              <w:numPr>
                <w:ilvl w:val="1"/>
                <w:numId w:val="22"/>
              </w:numPr>
            </w:pPr>
            <w:r>
              <w:t>“The Americas” pp. 15-39</w:t>
            </w:r>
          </w:p>
        </w:tc>
      </w:tr>
      <w:tr w:rsidR="000F5E12" w14:paraId="6AA4D743" w14:textId="77777777" w:rsidTr="00D571B3">
        <w:tc>
          <w:tcPr>
            <w:tcW w:w="9350" w:type="dxa"/>
            <w:gridSpan w:val="2"/>
          </w:tcPr>
          <w:p w14:paraId="17936F98" w14:textId="77777777" w:rsidR="000F5E12" w:rsidRPr="00466AF3" w:rsidRDefault="000F5E12" w:rsidP="00D571B3">
            <w:pPr>
              <w:rPr>
                <w:b/>
                <w:bCs/>
              </w:rPr>
            </w:pPr>
            <w:r w:rsidRPr="00466AF3">
              <w:rPr>
                <w:b/>
                <w:bCs/>
              </w:rPr>
              <w:t>Seminar Leaders:</w:t>
            </w:r>
          </w:p>
          <w:p w14:paraId="0E2CE048" w14:textId="77777777" w:rsidR="000F5E12" w:rsidRDefault="000F5E12" w:rsidP="00D571B3">
            <w:r>
              <w:t>TBD</w:t>
            </w:r>
          </w:p>
        </w:tc>
      </w:tr>
    </w:tbl>
    <w:p w14:paraId="50E30C84" w14:textId="77777777" w:rsidR="000F5E12" w:rsidRDefault="000F5E12" w:rsidP="000F5E12"/>
    <w:tbl>
      <w:tblPr>
        <w:tblStyle w:val="TableGrid"/>
        <w:tblW w:w="0" w:type="auto"/>
        <w:tblLook w:val="04A0" w:firstRow="1" w:lastRow="0" w:firstColumn="1" w:lastColumn="0" w:noHBand="0" w:noVBand="1"/>
      </w:tblPr>
      <w:tblGrid>
        <w:gridCol w:w="2547"/>
        <w:gridCol w:w="6803"/>
      </w:tblGrid>
      <w:tr w:rsidR="000F5E12" w14:paraId="07F1EB98" w14:textId="77777777" w:rsidTr="00D571B3">
        <w:tc>
          <w:tcPr>
            <w:tcW w:w="2547" w:type="dxa"/>
          </w:tcPr>
          <w:p w14:paraId="3164025D" w14:textId="77777777" w:rsidR="000F5E12" w:rsidRDefault="000F5E12" w:rsidP="00D571B3">
            <w:r w:rsidRPr="00466AF3">
              <w:rPr>
                <w:b/>
                <w:bCs/>
              </w:rPr>
              <w:t xml:space="preserve">Week </w:t>
            </w:r>
            <w:r>
              <w:rPr>
                <w:b/>
                <w:bCs/>
              </w:rPr>
              <w:t>9</w:t>
            </w:r>
            <w:r>
              <w:t xml:space="preserve"> (March 3)</w:t>
            </w:r>
          </w:p>
        </w:tc>
        <w:tc>
          <w:tcPr>
            <w:tcW w:w="6803" w:type="dxa"/>
          </w:tcPr>
          <w:p w14:paraId="64BB7E87" w14:textId="77777777" w:rsidR="000F5E12" w:rsidRPr="00466AF3" w:rsidRDefault="000F5E12" w:rsidP="00D571B3">
            <w:pPr>
              <w:rPr>
                <w:b/>
                <w:bCs/>
              </w:rPr>
            </w:pPr>
            <w:r w:rsidRPr="00A4489D">
              <w:rPr>
                <w:b/>
                <w:bCs/>
              </w:rPr>
              <w:t>Workforce Development &amp; Innovation</w:t>
            </w:r>
          </w:p>
        </w:tc>
      </w:tr>
      <w:tr w:rsidR="000F5E12" w14:paraId="50A6EF3B" w14:textId="77777777" w:rsidTr="00D571B3">
        <w:tc>
          <w:tcPr>
            <w:tcW w:w="9350" w:type="dxa"/>
            <w:gridSpan w:val="2"/>
          </w:tcPr>
          <w:p w14:paraId="66E7E4EF" w14:textId="77777777" w:rsidR="000F5E12" w:rsidRPr="00466AF3" w:rsidRDefault="000F5E12" w:rsidP="00D571B3">
            <w:pPr>
              <w:rPr>
                <w:b/>
                <w:bCs/>
              </w:rPr>
            </w:pPr>
            <w:r w:rsidRPr="00466AF3">
              <w:rPr>
                <w:b/>
                <w:bCs/>
              </w:rPr>
              <w:t>Overview:</w:t>
            </w:r>
          </w:p>
          <w:p w14:paraId="69467FEF" w14:textId="77777777" w:rsidR="000F5E12" w:rsidRDefault="000F5E12" w:rsidP="00D571B3">
            <w:r>
              <w:t>This class will examine the impacts of innovation on the field of workforce development. Wirth talent, skill and labour being increasingly important aspects of the innovations pace, how does technological and economic innovation change the dynamics of development in City-Regions?</w:t>
            </w:r>
          </w:p>
        </w:tc>
      </w:tr>
      <w:tr w:rsidR="000F5E12" w14:paraId="2D52498D" w14:textId="77777777" w:rsidTr="00D571B3">
        <w:tc>
          <w:tcPr>
            <w:tcW w:w="9350" w:type="dxa"/>
            <w:gridSpan w:val="2"/>
          </w:tcPr>
          <w:p w14:paraId="2F348A7E" w14:textId="77777777" w:rsidR="000F5E12" w:rsidRPr="00466AF3" w:rsidRDefault="000F5E12" w:rsidP="00D571B3">
            <w:pPr>
              <w:rPr>
                <w:b/>
                <w:bCs/>
              </w:rPr>
            </w:pPr>
            <w:r w:rsidRPr="00466AF3">
              <w:rPr>
                <w:b/>
                <w:bCs/>
              </w:rPr>
              <w:t>Readings:</w:t>
            </w:r>
          </w:p>
          <w:p w14:paraId="0DB1D85F" w14:textId="77777777" w:rsidR="000F5E12" w:rsidRPr="00505BBD" w:rsidRDefault="000F5E12" w:rsidP="00D571B3">
            <w:pPr>
              <w:pStyle w:val="ListParagraph"/>
              <w:numPr>
                <w:ilvl w:val="0"/>
                <w:numId w:val="23"/>
              </w:numPr>
            </w:pPr>
            <w:r w:rsidRPr="00505BBD">
              <w:t xml:space="preserve">Tom Short and Roger Harris, </w:t>
            </w:r>
            <w:r w:rsidRPr="00505BBD">
              <w:rPr>
                <w:i/>
                <w:iCs/>
              </w:rPr>
              <w:t>Workforce Development</w:t>
            </w:r>
            <w:r w:rsidRPr="00505BBD">
              <w:t>, Springer, 2014</w:t>
            </w:r>
          </w:p>
          <w:p w14:paraId="7AC66AC2" w14:textId="77777777" w:rsidR="000F5E12" w:rsidRPr="00505BBD" w:rsidRDefault="000F5E12" w:rsidP="00D571B3">
            <w:pPr>
              <w:pStyle w:val="ListParagraph"/>
              <w:numPr>
                <w:ilvl w:val="1"/>
                <w:numId w:val="23"/>
              </w:numPr>
            </w:pPr>
            <w:r w:rsidRPr="00505BBD">
              <w:t>“The Future of Workforce Development – Old Wine in New Bottles?”, pp. 351-372</w:t>
            </w:r>
          </w:p>
          <w:p w14:paraId="28FA81CC" w14:textId="77777777" w:rsidR="000F5E12" w:rsidRDefault="000F5E12" w:rsidP="00D571B3">
            <w:pPr>
              <w:pStyle w:val="ListParagraph"/>
              <w:numPr>
                <w:ilvl w:val="0"/>
                <w:numId w:val="23"/>
              </w:numPr>
            </w:pPr>
            <w:r>
              <w:t xml:space="preserve">Richard B. Freeman, “Who Owns the Robots Rules the World”, </w:t>
            </w:r>
            <w:r w:rsidRPr="0029498E">
              <w:rPr>
                <w:i/>
                <w:iCs/>
              </w:rPr>
              <w:t>IZA World of Labor</w:t>
            </w:r>
            <w:r>
              <w:t>, May 2015, pp. 1-10</w:t>
            </w:r>
          </w:p>
        </w:tc>
      </w:tr>
      <w:tr w:rsidR="000F5E12" w14:paraId="50C25D09" w14:textId="77777777" w:rsidTr="00D571B3">
        <w:tc>
          <w:tcPr>
            <w:tcW w:w="9350" w:type="dxa"/>
            <w:gridSpan w:val="2"/>
          </w:tcPr>
          <w:p w14:paraId="48DC62EA" w14:textId="77777777" w:rsidR="000F5E12" w:rsidRPr="00466AF3" w:rsidRDefault="000F5E12" w:rsidP="00D571B3">
            <w:pPr>
              <w:rPr>
                <w:b/>
                <w:bCs/>
              </w:rPr>
            </w:pPr>
            <w:r w:rsidRPr="00466AF3">
              <w:rPr>
                <w:b/>
                <w:bCs/>
              </w:rPr>
              <w:t>Seminar Leader Readings:</w:t>
            </w:r>
          </w:p>
          <w:p w14:paraId="49CB89CB" w14:textId="77777777" w:rsidR="000F5E12" w:rsidRDefault="000F5E12" w:rsidP="00D571B3">
            <w:pPr>
              <w:pStyle w:val="ListParagraph"/>
              <w:numPr>
                <w:ilvl w:val="0"/>
                <w:numId w:val="23"/>
              </w:numPr>
            </w:pPr>
            <w:r>
              <w:lastRenderedPageBreak/>
              <w:t xml:space="preserve">Richard Susskind and Daniel Susskind, </w:t>
            </w:r>
            <w:r w:rsidRPr="0029498E">
              <w:rPr>
                <w:i/>
                <w:iCs/>
              </w:rPr>
              <w:t>The Future of the Professions</w:t>
            </w:r>
            <w:r>
              <w:t>, Oxford University Press, 2015</w:t>
            </w:r>
          </w:p>
          <w:p w14:paraId="207201F8" w14:textId="77777777" w:rsidR="000F5E12" w:rsidRDefault="000F5E12" w:rsidP="00D571B3">
            <w:pPr>
              <w:pStyle w:val="ListParagraph"/>
              <w:numPr>
                <w:ilvl w:val="1"/>
                <w:numId w:val="23"/>
              </w:numPr>
            </w:pPr>
            <w:r>
              <w:t>“Patterns Across the Professions”, pp. 101-142</w:t>
            </w:r>
          </w:p>
        </w:tc>
      </w:tr>
      <w:tr w:rsidR="000F5E12" w14:paraId="33308DBA" w14:textId="77777777" w:rsidTr="00D571B3">
        <w:tc>
          <w:tcPr>
            <w:tcW w:w="9350" w:type="dxa"/>
            <w:gridSpan w:val="2"/>
          </w:tcPr>
          <w:p w14:paraId="4B780938" w14:textId="77777777" w:rsidR="000F5E12" w:rsidRPr="00466AF3" w:rsidRDefault="000F5E12" w:rsidP="00D571B3">
            <w:pPr>
              <w:rPr>
                <w:b/>
                <w:bCs/>
              </w:rPr>
            </w:pPr>
            <w:r w:rsidRPr="00466AF3">
              <w:rPr>
                <w:b/>
                <w:bCs/>
              </w:rPr>
              <w:lastRenderedPageBreak/>
              <w:t>Seminar Leaders:</w:t>
            </w:r>
          </w:p>
          <w:p w14:paraId="57069936" w14:textId="77777777" w:rsidR="000F5E12" w:rsidRDefault="000F5E12" w:rsidP="00D571B3">
            <w:r>
              <w:t>TBD</w:t>
            </w:r>
          </w:p>
        </w:tc>
      </w:tr>
    </w:tbl>
    <w:p w14:paraId="68B9DBA1" w14:textId="77777777" w:rsidR="000F5E12" w:rsidRDefault="000F5E12" w:rsidP="000F5E12"/>
    <w:p w14:paraId="3D2B9F22" w14:textId="77777777" w:rsidR="000F5E12" w:rsidRDefault="000F5E12" w:rsidP="000F5E12"/>
    <w:p w14:paraId="4D84A78E" w14:textId="77777777" w:rsidR="000F5E12" w:rsidRDefault="000F5E12" w:rsidP="000F5E12"/>
    <w:tbl>
      <w:tblPr>
        <w:tblStyle w:val="TableGrid"/>
        <w:tblW w:w="0" w:type="auto"/>
        <w:tblLook w:val="04A0" w:firstRow="1" w:lastRow="0" w:firstColumn="1" w:lastColumn="0" w:noHBand="0" w:noVBand="1"/>
      </w:tblPr>
      <w:tblGrid>
        <w:gridCol w:w="2547"/>
        <w:gridCol w:w="6803"/>
      </w:tblGrid>
      <w:tr w:rsidR="000F5E12" w14:paraId="527508BA" w14:textId="77777777" w:rsidTr="00D571B3">
        <w:tc>
          <w:tcPr>
            <w:tcW w:w="2547" w:type="dxa"/>
          </w:tcPr>
          <w:p w14:paraId="751CC202" w14:textId="77777777" w:rsidR="000F5E12" w:rsidRDefault="000F5E12" w:rsidP="00D571B3">
            <w:r w:rsidRPr="00466AF3">
              <w:rPr>
                <w:b/>
                <w:bCs/>
              </w:rPr>
              <w:t>Week 1</w:t>
            </w:r>
            <w:r>
              <w:rPr>
                <w:b/>
                <w:bCs/>
              </w:rPr>
              <w:t>0</w:t>
            </w:r>
            <w:r>
              <w:t xml:space="preserve"> (March 10)</w:t>
            </w:r>
          </w:p>
        </w:tc>
        <w:tc>
          <w:tcPr>
            <w:tcW w:w="6803" w:type="dxa"/>
          </w:tcPr>
          <w:p w14:paraId="6B4BB53E" w14:textId="77777777" w:rsidR="000F5E12" w:rsidRPr="00466AF3" w:rsidRDefault="000F5E12" w:rsidP="00D571B3">
            <w:pPr>
              <w:rPr>
                <w:b/>
                <w:bCs/>
              </w:rPr>
            </w:pPr>
            <w:r w:rsidRPr="00AF1D9C">
              <w:rPr>
                <w:b/>
                <w:bCs/>
              </w:rPr>
              <w:t>Technology, Innovation and Workforce</w:t>
            </w:r>
          </w:p>
        </w:tc>
      </w:tr>
      <w:tr w:rsidR="000F5E12" w14:paraId="3047A82A" w14:textId="77777777" w:rsidTr="00D571B3">
        <w:tc>
          <w:tcPr>
            <w:tcW w:w="9350" w:type="dxa"/>
            <w:gridSpan w:val="2"/>
          </w:tcPr>
          <w:p w14:paraId="6EDCB57D" w14:textId="77777777" w:rsidR="000F5E12" w:rsidRPr="00466AF3" w:rsidRDefault="000F5E12" w:rsidP="00D571B3">
            <w:pPr>
              <w:rPr>
                <w:b/>
                <w:bCs/>
              </w:rPr>
            </w:pPr>
            <w:r w:rsidRPr="00466AF3">
              <w:rPr>
                <w:b/>
                <w:bCs/>
              </w:rPr>
              <w:t>Overview:</w:t>
            </w:r>
          </w:p>
          <w:p w14:paraId="242B6829" w14:textId="77777777" w:rsidR="000F5E12" w:rsidRDefault="000F5E12" w:rsidP="00D571B3">
            <w:r>
              <w:t>This class will examine the emergence of new technologies, and how they reshape the dynamics between innovation, talent and local development.</w:t>
            </w:r>
          </w:p>
        </w:tc>
      </w:tr>
      <w:tr w:rsidR="000F5E12" w14:paraId="4F2BE633" w14:textId="77777777" w:rsidTr="00D571B3">
        <w:tc>
          <w:tcPr>
            <w:tcW w:w="9350" w:type="dxa"/>
            <w:gridSpan w:val="2"/>
          </w:tcPr>
          <w:p w14:paraId="480B20BC" w14:textId="77777777" w:rsidR="000F5E12" w:rsidRPr="00466AF3" w:rsidRDefault="000F5E12" w:rsidP="00D571B3">
            <w:pPr>
              <w:rPr>
                <w:b/>
                <w:bCs/>
              </w:rPr>
            </w:pPr>
            <w:r w:rsidRPr="00466AF3">
              <w:rPr>
                <w:b/>
                <w:bCs/>
              </w:rPr>
              <w:t>Readings:</w:t>
            </w:r>
          </w:p>
          <w:p w14:paraId="6DF39F17" w14:textId="77777777" w:rsidR="000F5E12" w:rsidRDefault="000F5E12" w:rsidP="00D571B3">
            <w:pPr>
              <w:pStyle w:val="ListParagraph"/>
              <w:numPr>
                <w:ilvl w:val="0"/>
                <w:numId w:val="24"/>
              </w:numPr>
            </w:pPr>
            <w:r>
              <w:t xml:space="preserve">Jeff Elton &amp; Anne </w:t>
            </w:r>
            <w:proofErr w:type="spellStart"/>
            <w:r>
              <w:t>O’Riordan</w:t>
            </w:r>
            <w:proofErr w:type="spellEnd"/>
            <w:r>
              <w:t xml:space="preserve">, </w:t>
            </w:r>
            <w:r w:rsidRPr="00635F10">
              <w:rPr>
                <w:i/>
                <w:iCs/>
              </w:rPr>
              <w:t>Healthcare Disrupted: Next Generation Business Models and Strategies</w:t>
            </w:r>
            <w:r>
              <w:t>, John Wiley &amp; Sons, 2016</w:t>
            </w:r>
          </w:p>
          <w:p w14:paraId="362B2A8B" w14:textId="77777777" w:rsidR="000F5E12" w:rsidRDefault="000F5E12" w:rsidP="00D571B3">
            <w:pPr>
              <w:pStyle w:val="ListParagraph"/>
              <w:numPr>
                <w:ilvl w:val="1"/>
                <w:numId w:val="24"/>
              </w:numPr>
            </w:pPr>
            <w:r>
              <w:t>“Why and How the Healthcare Sector is Changing so Rapidly,” pp. 3-21</w:t>
            </w:r>
          </w:p>
          <w:p w14:paraId="310BF3A2" w14:textId="77777777" w:rsidR="000F5E12" w:rsidRDefault="000F5E12" w:rsidP="00D571B3">
            <w:pPr>
              <w:pStyle w:val="ListParagraph"/>
              <w:numPr>
                <w:ilvl w:val="0"/>
                <w:numId w:val="24"/>
              </w:numPr>
            </w:pPr>
            <w:r>
              <w:t xml:space="preserve">Paul Daugherty and H. James Wilson, </w:t>
            </w:r>
            <w:r w:rsidRPr="00320223">
              <w:rPr>
                <w:i/>
                <w:iCs/>
              </w:rPr>
              <w:t>Human + Machine: Reimagining Work in the Age of AI</w:t>
            </w:r>
            <w:r>
              <w:t>, Harvard Business Review Press, 2018</w:t>
            </w:r>
          </w:p>
          <w:p w14:paraId="328E5F3A" w14:textId="77777777" w:rsidR="000F5E12" w:rsidRDefault="000F5E12" w:rsidP="00D571B3">
            <w:pPr>
              <w:pStyle w:val="ListParagraph"/>
              <w:numPr>
                <w:ilvl w:val="1"/>
                <w:numId w:val="24"/>
              </w:numPr>
            </w:pPr>
            <w:r>
              <w:t>“The Self-Aware Factory Floor”, pp. 19-43</w:t>
            </w:r>
          </w:p>
          <w:p w14:paraId="1AE7F197" w14:textId="77777777" w:rsidR="000F5E12" w:rsidRDefault="000F5E12" w:rsidP="00D571B3">
            <w:pPr>
              <w:pStyle w:val="ListParagraph"/>
              <w:numPr>
                <w:ilvl w:val="0"/>
                <w:numId w:val="24"/>
              </w:numPr>
            </w:pPr>
            <w:r>
              <w:t xml:space="preserve">Brock Dickinson, “The Fourth Age of Economic Development,” </w:t>
            </w:r>
            <w:r w:rsidRPr="00614591">
              <w:rPr>
                <w:i/>
                <w:iCs/>
              </w:rPr>
              <w:t>Municipal World</w:t>
            </w:r>
            <w:r>
              <w:t>, September 2019, pp. 7-8.</w:t>
            </w:r>
          </w:p>
        </w:tc>
      </w:tr>
      <w:tr w:rsidR="000F5E12" w14:paraId="0132F99E" w14:textId="77777777" w:rsidTr="00D571B3">
        <w:tc>
          <w:tcPr>
            <w:tcW w:w="9350" w:type="dxa"/>
            <w:gridSpan w:val="2"/>
          </w:tcPr>
          <w:p w14:paraId="622B2325" w14:textId="77777777" w:rsidR="000F5E12" w:rsidRPr="00466AF3" w:rsidRDefault="000F5E12" w:rsidP="00D571B3">
            <w:pPr>
              <w:rPr>
                <w:b/>
                <w:bCs/>
              </w:rPr>
            </w:pPr>
            <w:r w:rsidRPr="00466AF3">
              <w:rPr>
                <w:b/>
                <w:bCs/>
              </w:rPr>
              <w:t>Seminar Leader Readings:</w:t>
            </w:r>
          </w:p>
          <w:p w14:paraId="2BF01C82" w14:textId="77777777" w:rsidR="000F5E12" w:rsidRDefault="000F5E12" w:rsidP="00D571B3">
            <w:pPr>
              <w:pStyle w:val="ListParagraph"/>
              <w:numPr>
                <w:ilvl w:val="0"/>
                <w:numId w:val="24"/>
              </w:numPr>
            </w:pPr>
            <w:r>
              <w:t xml:space="preserve">Ajay Agarwal, Joshua </w:t>
            </w:r>
            <w:proofErr w:type="spellStart"/>
            <w:r>
              <w:t>Gans</w:t>
            </w:r>
            <w:proofErr w:type="spellEnd"/>
            <w:r>
              <w:t xml:space="preserve"> and </w:t>
            </w:r>
            <w:proofErr w:type="spellStart"/>
            <w:r>
              <w:t>Avi</w:t>
            </w:r>
            <w:proofErr w:type="spellEnd"/>
            <w:r>
              <w:t xml:space="preserve"> Goldfarb, </w:t>
            </w:r>
            <w:r w:rsidRPr="006D59CE">
              <w:rPr>
                <w:i/>
                <w:iCs/>
              </w:rPr>
              <w:t>Prediction Machines: The Simple Economics of Artificial Intelligence</w:t>
            </w:r>
            <w:r>
              <w:t>, Harvard Business Review Press, 2018</w:t>
            </w:r>
          </w:p>
          <w:p w14:paraId="35826771" w14:textId="77777777" w:rsidR="000F5E12" w:rsidRDefault="000F5E12" w:rsidP="00D571B3">
            <w:pPr>
              <w:pStyle w:val="ListParagraph"/>
              <w:numPr>
                <w:ilvl w:val="1"/>
                <w:numId w:val="24"/>
              </w:numPr>
            </w:pPr>
            <w:r>
              <w:t>“Data is the New Oil” pp. 43-51</w:t>
            </w:r>
          </w:p>
          <w:p w14:paraId="66C72713" w14:textId="77777777" w:rsidR="000F5E12" w:rsidRDefault="000F5E12" w:rsidP="00D571B3">
            <w:pPr>
              <w:pStyle w:val="ListParagraph"/>
              <w:numPr>
                <w:ilvl w:val="1"/>
                <w:numId w:val="24"/>
              </w:numPr>
            </w:pPr>
            <w:r w:rsidRPr="00202AA7">
              <w:t>“The New Division of Labor” pp. 54-69</w:t>
            </w:r>
          </w:p>
        </w:tc>
      </w:tr>
      <w:tr w:rsidR="000F5E12" w14:paraId="0FE6973F" w14:textId="77777777" w:rsidTr="00D571B3">
        <w:tc>
          <w:tcPr>
            <w:tcW w:w="9350" w:type="dxa"/>
            <w:gridSpan w:val="2"/>
          </w:tcPr>
          <w:p w14:paraId="1B9EE397" w14:textId="77777777" w:rsidR="000F5E12" w:rsidRPr="00466AF3" w:rsidRDefault="000F5E12" w:rsidP="00D571B3">
            <w:pPr>
              <w:rPr>
                <w:b/>
                <w:bCs/>
              </w:rPr>
            </w:pPr>
            <w:r w:rsidRPr="00466AF3">
              <w:rPr>
                <w:b/>
                <w:bCs/>
              </w:rPr>
              <w:t>Seminar Leaders:</w:t>
            </w:r>
          </w:p>
          <w:p w14:paraId="398DCC62" w14:textId="77777777" w:rsidR="000F5E12" w:rsidRDefault="000F5E12" w:rsidP="00D571B3">
            <w:r>
              <w:t>TBD</w:t>
            </w:r>
          </w:p>
        </w:tc>
      </w:tr>
    </w:tbl>
    <w:p w14:paraId="1C44FA32" w14:textId="77777777" w:rsidR="000F5E12" w:rsidRDefault="000F5E12" w:rsidP="000F5E12"/>
    <w:tbl>
      <w:tblPr>
        <w:tblStyle w:val="TableGrid"/>
        <w:tblW w:w="0" w:type="auto"/>
        <w:tblLook w:val="04A0" w:firstRow="1" w:lastRow="0" w:firstColumn="1" w:lastColumn="0" w:noHBand="0" w:noVBand="1"/>
      </w:tblPr>
      <w:tblGrid>
        <w:gridCol w:w="2547"/>
        <w:gridCol w:w="6803"/>
      </w:tblGrid>
      <w:tr w:rsidR="000F5E12" w14:paraId="3D1C426D" w14:textId="77777777" w:rsidTr="00D571B3">
        <w:tc>
          <w:tcPr>
            <w:tcW w:w="2547" w:type="dxa"/>
          </w:tcPr>
          <w:p w14:paraId="1D3F0D62" w14:textId="77777777" w:rsidR="000F5E12" w:rsidRDefault="000F5E12" w:rsidP="00D571B3">
            <w:r w:rsidRPr="00466AF3">
              <w:rPr>
                <w:b/>
                <w:bCs/>
              </w:rPr>
              <w:t>Week 1</w:t>
            </w:r>
            <w:r>
              <w:rPr>
                <w:b/>
                <w:bCs/>
              </w:rPr>
              <w:t>1</w:t>
            </w:r>
            <w:r>
              <w:t xml:space="preserve"> (March 17)</w:t>
            </w:r>
          </w:p>
        </w:tc>
        <w:tc>
          <w:tcPr>
            <w:tcW w:w="6803" w:type="dxa"/>
          </w:tcPr>
          <w:p w14:paraId="16F12B71" w14:textId="77777777" w:rsidR="000F5E12" w:rsidRPr="00466AF3" w:rsidRDefault="000F5E12" w:rsidP="00D571B3">
            <w:pPr>
              <w:rPr>
                <w:b/>
                <w:bCs/>
              </w:rPr>
            </w:pPr>
            <w:r w:rsidRPr="00F91D9A">
              <w:rPr>
                <w:b/>
                <w:bCs/>
              </w:rPr>
              <w:t>Innovation and its Discontents: Inequality and Development</w:t>
            </w:r>
          </w:p>
        </w:tc>
      </w:tr>
      <w:tr w:rsidR="000F5E12" w14:paraId="18C4BDAD" w14:textId="77777777" w:rsidTr="00D571B3">
        <w:tc>
          <w:tcPr>
            <w:tcW w:w="9350" w:type="dxa"/>
            <w:gridSpan w:val="2"/>
          </w:tcPr>
          <w:p w14:paraId="002D282B" w14:textId="77777777" w:rsidR="000F5E12" w:rsidRPr="00466AF3" w:rsidRDefault="000F5E12" w:rsidP="00D571B3">
            <w:pPr>
              <w:rPr>
                <w:b/>
                <w:bCs/>
              </w:rPr>
            </w:pPr>
            <w:r w:rsidRPr="00466AF3">
              <w:rPr>
                <w:b/>
                <w:bCs/>
              </w:rPr>
              <w:t>Overview:</w:t>
            </w:r>
          </w:p>
          <w:p w14:paraId="5F6AA18E" w14:textId="77777777" w:rsidR="000F5E12" w:rsidRDefault="000F5E12" w:rsidP="00D571B3">
            <w:r>
              <w:t>This class will focus on those who feel left behind in the rush to more innovative industries and economies, and how their reactions to economic change can undermine local development and community building.</w:t>
            </w:r>
          </w:p>
        </w:tc>
      </w:tr>
      <w:tr w:rsidR="000F5E12" w14:paraId="17A0ABAB" w14:textId="77777777" w:rsidTr="00D571B3">
        <w:tc>
          <w:tcPr>
            <w:tcW w:w="9350" w:type="dxa"/>
            <w:gridSpan w:val="2"/>
          </w:tcPr>
          <w:p w14:paraId="4EAD45BA" w14:textId="77777777" w:rsidR="000F5E12" w:rsidRPr="00466AF3" w:rsidRDefault="000F5E12" w:rsidP="00D571B3">
            <w:pPr>
              <w:rPr>
                <w:b/>
                <w:bCs/>
              </w:rPr>
            </w:pPr>
            <w:r w:rsidRPr="00466AF3">
              <w:rPr>
                <w:b/>
                <w:bCs/>
              </w:rPr>
              <w:t>Readings:</w:t>
            </w:r>
          </w:p>
          <w:p w14:paraId="6858CD08" w14:textId="77777777" w:rsidR="000F5E12" w:rsidRDefault="000F5E12" w:rsidP="00D571B3">
            <w:pPr>
              <w:pStyle w:val="ListParagraph"/>
              <w:numPr>
                <w:ilvl w:val="0"/>
                <w:numId w:val="25"/>
              </w:numPr>
            </w:pPr>
            <w:r>
              <w:t xml:space="preserve">J.D. Vance, </w:t>
            </w:r>
            <w:r w:rsidRPr="00E35F59">
              <w:rPr>
                <w:i/>
                <w:iCs/>
              </w:rPr>
              <w:t>Hillbilly Elegy</w:t>
            </w:r>
            <w:r>
              <w:t>, Harper Collins, 2016</w:t>
            </w:r>
          </w:p>
          <w:p w14:paraId="31BE8B4B" w14:textId="77777777" w:rsidR="000F5E12" w:rsidRPr="003E2DD9" w:rsidRDefault="000F5E12" w:rsidP="00D571B3">
            <w:pPr>
              <w:pStyle w:val="ListParagraph"/>
              <w:numPr>
                <w:ilvl w:val="1"/>
                <w:numId w:val="25"/>
              </w:numPr>
            </w:pPr>
            <w:r>
              <w:t>“Chapter 4”, pp. 47-60</w:t>
            </w:r>
          </w:p>
          <w:p w14:paraId="75F2787C" w14:textId="77777777" w:rsidR="000F5E12" w:rsidRDefault="000F5E12" w:rsidP="00D571B3">
            <w:pPr>
              <w:pStyle w:val="ListParagraph"/>
              <w:numPr>
                <w:ilvl w:val="0"/>
                <w:numId w:val="25"/>
              </w:numPr>
            </w:pPr>
            <w:r>
              <w:t xml:space="preserve">Gregory Clark, </w:t>
            </w:r>
            <w:r w:rsidRPr="0062754B">
              <w:rPr>
                <w:i/>
                <w:iCs/>
              </w:rPr>
              <w:t>The Son Also Rises: Surnames and the History of Social Mobility</w:t>
            </w:r>
            <w:r>
              <w:t>, Princeton University Press, 2014</w:t>
            </w:r>
          </w:p>
          <w:p w14:paraId="72052EBF" w14:textId="77777777" w:rsidR="000F5E12" w:rsidRDefault="000F5E12" w:rsidP="00D571B3">
            <w:pPr>
              <w:pStyle w:val="ListParagraph"/>
              <w:numPr>
                <w:ilvl w:val="1"/>
                <w:numId w:val="25"/>
              </w:numPr>
            </w:pPr>
            <w:r>
              <w:t>“Introduction: Of Ruling Classes and Underclasses: The Laws of Social Mobility”, pp. 1-16</w:t>
            </w:r>
          </w:p>
          <w:p w14:paraId="4BDF3F69" w14:textId="77777777" w:rsidR="000F5E12" w:rsidRPr="003E2DD9" w:rsidRDefault="000F5E12" w:rsidP="00D571B3">
            <w:pPr>
              <w:pStyle w:val="ListParagraph"/>
              <w:numPr>
                <w:ilvl w:val="1"/>
                <w:numId w:val="25"/>
              </w:numPr>
            </w:pPr>
            <w:r>
              <w:t xml:space="preserve">“Modern England: The Deep Roots of the Present”, pp. 88-106 </w:t>
            </w:r>
          </w:p>
          <w:p w14:paraId="4E9079E2" w14:textId="77777777" w:rsidR="000F5E12" w:rsidRDefault="000F5E12" w:rsidP="00D571B3">
            <w:pPr>
              <w:pStyle w:val="ListParagraph"/>
              <w:numPr>
                <w:ilvl w:val="0"/>
                <w:numId w:val="25"/>
              </w:numPr>
            </w:pPr>
            <w:r>
              <w:t xml:space="preserve"> “Measuring the 1%”, </w:t>
            </w:r>
            <w:r w:rsidRPr="00E35F59">
              <w:rPr>
                <w:i/>
                <w:iCs/>
              </w:rPr>
              <w:t>The Economist</w:t>
            </w:r>
            <w:r>
              <w:t>, November 30</w:t>
            </w:r>
            <w:r w:rsidRPr="00C1761B">
              <w:rPr>
                <w:vertAlign w:val="superscript"/>
              </w:rPr>
              <w:t>th</w:t>
            </w:r>
            <w:r>
              <w:t xml:space="preserve"> – Dec 6</w:t>
            </w:r>
            <w:r w:rsidRPr="00BC31DB">
              <w:rPr>
                <w:vertAlign w:val="superscript"/>
              </w:rPr>
              <w:t>th</w:t>
            </w:r>
            <w:r>
              <w:t>, 2019, pp. 21-24</w:t>
            </w:r>
          </w:p>
        </w:tc>
      </w:tr>
      <w:tr w:rsidR="000F5E12" w14:paraId="4E082941" w14:textId="77777777" w:rsidTr="00D571B3">
        <w:tc>
          <w:tcPr>
            <w:tcW w:w="9350" w:type="dxa"/>
            <w:gridSpan w:val="2"/>
          </w:tcPr>
          <w:p w14:paraId="09E68D6D" w14:textId="77777777" w:rsidR="000F5E12" w:rsidRPr="00466AF3" w:rsidRDefault="000F5E12" w:rsidP="00D571B3">
            <w:pPr>
              <w:rPr>
                <w:b/>
                <w:bCs/>
              </w:rPr>
            </w:pPr>
            <w:r w:rsidRPr="00466AF3">
              <w:rPr>
                <w:b/>
                <w:bCs/>
              </w:rPr>
              <w:lastRenderedPageBreak/>
              <w:t>Seminar Leader Readings:</w:t>
            </w:r>
          </w:p>
          <w:p w14:paraId="6CCC3AF4" w14:textId="77777777" w:rsidR="000F5E12" w:rsidRPr="00BA42AF" w:rsidRDefault="000F5E12" w:rsidP="00D571B3">
            <w:pPr>
              <w:pStyle w:val="ListParagraph"/>
              <w:numPr>
                <w:ilvl w:val="0"/>
                <w:numId w:val="25"/>
              </w:numPr>
            </w:pPr>
            <w:r w:rsidRPr="00BA42AF">
              <w:t xml:space="preserve">Keith Payne, </w:t>
            </w:r>
            <w:r w:rsidRPr="00BA42AF">
              <w:rPr>
                <w:i/>
                <w:iCs/>
              </w:rPr>
              <w:t>The Broken Ladder: How inequality Affects the Way we Think Live and Die</w:t>
            </w:r>
            <w:r w:rsidRPr="00BA42AF">
              <w:t>, Viking Books, 2017</w:t>
            </w:r>
          </w:p>
          <w:p w14:paraId="71FE90DC" w14:textId="77777777" w:rsidR="000F5E12" w:rsidRDefault="000F5E12" w:rsidP="00D571B3">
            <w:pPr>
              <w:pStyle w:val="ListParagraph"/>
              <w:numPr>
                <w:ilvl w:val="1"/>
                <w:numId w:val="25"/>
              </w:numPr>
            </w:pPr>
            <w:r w:rsidRPr="00BA42AF">
              <w:t>“Long Lives and Tall Tombstones: Inequality is a Matter of Life and Death”, pp. 113-133</w:t>
            </w:r>
          </w:p>
        </w:tc>
      </w:tr>
      <w:tr w:rsidR="000F5E12" w14:paraId="6684FA93" w14:textId="77777777" w:rsidTr="00D571B3">
        <w:tc>
          <w:tcPr>
            <w:tcW w:w="9350" w:type="dxa"/>
            <w:gridSpan w:val="2"/>
          </w:tcPr>
          <w:p w14:paraId="2A237AA8" w14:textId="77777777" w:rsidR="000F5E12" w:rsidRPr="00466AF3" w:rsidRDefault="000F5E12" w:rsidP="00D571B3">
            <w:pPr>
              <w:rPr>
                <w:b/>
                <w:bCs/>
              </w:rPr>
            </w:pPr>
            <w:r w:rsidRPr="00466AF3">
              <w:rPr>
                <w:b/>
                <w:bCs/>
              </w:rPr>
              <w:t>Seminar Leaders:</w:t>
            </w:r>
          </w:p>
          <w:p w14:paraId="2E2542EB" w14:textId="77777777" w:rsidR="000F5E12" w:rsidRDefault="000F5E12" w:rsidP="00D571B3">
            <w:r>
              <w:t>TBD</w:t>
            </w:r>
          </w:p>
        </w:tc>
      </w:tr>
    </w:tbl>
    <w:p w14:paraId="168DC501" w14:textId="77777777" w:rsidR="000F5E12" w:rsidRDefault="000F5E12" w:rsidP="000F5E12"/>
    <w:tbl>
      <w:tblPr>
        <w:tblStyle w:val="TableGrid"/>
        <w:tblW w:w="0" w:type="auto"/>
        <w:tblLook w:val="04A0" w:firstRow="1" w:lastRow="0" w:firstColumn="1" w:lastColumn="0" w:noHBand="0" w:noVBand="1"/>
      </w:tblPr>
      <w:tblGrid>
        <w:gridCol w:w="2547"/>
        <w:gridCol w:w="6803"/>
      </w:tblGrid>
      <w:tr w:rsidR="000F5E12" w14:paraId="2CBA6BDE" w14:textId="77777777" w:rsidTr="00D571B3">
        <w:tc>
          <w:tcPr>
            <w:tcW w:w="2547" w:type="dxa"/>
          </w:tcPr>
          <w:p w14:paraId="57CB648B" w14:textId="77777777" w:rsidR="000F5E12" w:rsidRDefault="000F5E12" w:rsidP="00D571B3">
            <w:r w:rsidRPr="00466AF3">
              <w:rPr>
                <w:b/>
                <w:bCs/>
              </w:rPr>
              <w:t>Week 1</w:t>
            </w:r>
            <w:r>
              <w:rPr>
                <w:b/>
                <w:bCs/>
              </w:rPr>
              <w:t>2</w:t>
            </w:r>
            <w:r>
              <w:t xml:space="preserve"> (March 24)</w:t>
            </w:r>
          </w:p>
        </w:tc>
        <w:tc>
          <w:tcPr>
            <w:tcW w:w="6803" w:type="dxa"/>
          </w:tcPr>
          <w:p w14:paraId="30DD16A4" w14:textId="77777777" w:rsidR="000F5E12" w:rsidRPr="00466AF3" w:rsidRDefault="000F5E12" w:rsidP="00D571B3">
            <w:pPr>
              <w:rPr>
                <w:b/>
                <w:bCs/>
              </w:rPr>
            </w:pPr>
            <w:r w:rsidRPr="00AD17BB">
              <w:rPr>
                <w:b/>
                <w:bCs/>
              </w:rPr>
              <w:t>Resilience, Innovation &amp; Economic Transformation</w:t>
            </w:r>
          </w:p>
        </w:tc>
      </w:tr>
      <w:tr w:rsidR="000F5E12" w14:paraId="7AB7CDE7" w14:textId="77777777" w:rsidTr="00D571B3">
        <w:tc>
          <w:tcPr>
            <w:tcW w:w="9350" w:type="dxa"/>
            <w:gridSpan w:val="2"/>
          </w:tcPr>
          <w:p w14:paraId="06C8F8C5" w14:textId="77777777" w:rsidR="000F5E12" w:rsidRPr="00466AF3" w:rsidRDefault="000F5E12" w:rsidP="00D571B3">
            <w:pPr>
              <w:rPr>
                <w:b/>
                <w:bCs/>
              </w:rPr>
            </w:pPr>
            <w:r w:rsidRPr="00466AF3">
              <w:rPr>
                <w:b/>
                <w:bCs/>
              </w:rPr>
              <w:t>Overview:</w:t>
            </w:r>
          </w:p>
          <w:p w14:paraId="66FC5E3A" w14:textId="77777777" w:rsidR="000F5E12" w:rsidRDefault="000F5E12" w:rsidP="00D571B3">
            <w:r>
              <w:t xml:space="preserve">This class focuses on responses to </w:t>
            </w:r>
            <w:proofErr w:type="gramStart"/>
            <w:r>
              <w:t>inequality, and</w:t>
            </w:r>
            <w:proofErr w:type="gramEnd"/>
            <w:r>
              <w:t xml:space="preserve"> begins to explore the role that innovation-focused economic development efforts can play in transforming city-regions in positive ways.</w:t>
            </w:r>
          </w:p>
        </w:tc>
      </w:tr>
      <w:tr w:rsidR="000F5E12" w14:paraId="16D94259" w14:textId="77777777" w:rsidTr="00D571B3">
        <w:tc>
          <w:tcPr>
            <w:tcW w:w="9350" w:type="dxa"/>
            <w:gridSpan w:val="2"/>
          </w:tcPr>
          <w:p w14:paraId="78631A44" w14:textId="77777777" w:rsidR="000F5E12" w:rsidRPr="00466AF3" w:rsidRDefault="000F5E12" w:rsidP="00D571B3">
            <w:pPr>
              <w:rPr>
                <w:b/>
                <w:bCs/>
              </w:rPr>
            </w:pPr>
            <w:r w:rsidRPr="00466AF3">
              <w:rPr>
                <w:b/>
                <w:bCs/>
              </w:rPr>
              <w:t>Readings:</w:t>
            </w:r>
          </w:p>
          <w:p w14:paraId="0CF38C95" w14:textId="77777777" w:rsidR="000F5E12" w:rsidRDefault="000F5E12" w:rsidP="00D571B3">
            <w:pPr>
              <w:pStyle w:val="ListParagraph"/>
              <w:numPr>
                <w:ilvl w:val="0"/>
                <w:numId w:val="26"/>
              </w:numPr>
            </w:pPr>
            <w:proofErr w:type="spellStart"/>
            <w:r w:rsidRPr="00B27CEC">
              <w:t>Brank</w:t>
            </w:r>
            <w:r>
              <w:t>o</w:t>
            </w:r>
            <w:proofErr w:type="spellEnd"/>
            <w:r>
              <w:t xml:space="preserve"> Milanovic, </w:t>
            </w:r>
            <w:r w:rsidRPr="00672C94">
              <w:rPr>
                <w:i/>
                <w:iCs/>
              </w:rPr>
              <w:t>Capitalism, Alone</w:t>
            </w:r>
            <w:r>
              <w:t>, Harvard University Press, 2019</w:t>
            </w:r>
          </w:p>
          <w:p w14:paraId="7664D690" w14:textId="77777777" w:rsidR="000F5E12" w:rsidRDefault="000F5E12" w:rsidP="00D571B3">
            <w:pPr>
              <w:pStyle w:val="ListParagraph"/>
              <w:numPr>
                <w:ilvl w:val="1"/>
                <w:numId w:val="26"/>
              </w:numPr>
            </w:pPr>
            <w:r>
              <w:t>“The Future of Global Capitalism”, pp. 176-218</w:t>
            </w:r>
          </w:p>
          <w:p w14:paraId="1588597C" w14:textId="77777777" w:rsidR="000F5E12" w:rsidRDefault="000F5E12" w:rsidP="00D571B3">
            <w:pPr>
              <w:pStyle w:val="ListParagraph"/>
              <w:numPr>
                <w:ilvl w:val="0"/>
                <w:numId w:val="26"/>
              </w:numPr>
            </w:pPr>
            <w:r>
              <w:t xml:space="preserve">Richard Florida, </w:t>
            </w:r>
            <w:r w:rsidRPr="00AF3BE9">
              <w:rPr>
                <w:i/>
                <w:iCs/>
              </w:rPr>
              <w:t>The New Urban Crisis</w:t>
            </w:r>
            <w:r>
              <w:t>, Basic Books, 2017</w:t>
            </w:r>
          </w:p>
          <w:p w14:paraId="2ADDB799" w14:textId="77777777" w:rsidR="000F5E12" w:rsidRDefault="000F5E12" w:rsidP="00D571B3">
            <w:pPr>
              <w:pStyle w:val="ListParagraph"/>
              <w:numPr>
                <w:ilvl w:val="1"/>
                <w:numId w:val="26"/>
              </w:numPr>
            </w:pPr>
            <w:r>
              <w:t xml:space="preserve"> “Urbanism </w:t>
            </w:r>
            <w:proofErr w:type="gramStart"/>
            <w:r>
              <w:t>For</w:t>
            </w:r>
            <w:proofErr w:type="gramEnd"/>
            <w:r>
              <w:t xml:space="preserve"> All”, pp. 185-216</w:t>
            </w:r>
          </w:p>
        </w:tc>
      </w:tr>
      <w:tr w:rsidR="000F5E12" w14:paraId="4E4C2580" w14:textId="77777777" w:rsidTr="00D571B3">
        <w:tc>
          <w:tcPr>
            <w:tcW w:w="9350" w:type="dxa"/>
            <w:gridSpan w:val="2"/>
          </w:tcPr>
          <w:p w14:paraId="27D31B0A" w14:textId="77777777" w:rsidR="000F5E12" w:rsidRPr="00466AF3" w:rsidRDefault="000F5E12" w:rsidP="00D571B3">
            <w:pPr>
              <w:rPr>
                <w:b/>
                <w:bCs/>
              </w:rPr>
            </w:pPr>
            <w:r w:rsidRPr="00466AF3">
              <w:rPr>
                <w:b/>
                <w:bCs/>
              </w:rPr>
              <w:t>Seminar Leader Readings:</w:t>
            </w:r>
          </w:p>
          <w:p w14:paraId="68C105C7" w14:textId="77777777" w:rsidR="000F5E12" w:rsidRPr="00F737F4" w:rsidRDefault="000F5E12" w:rsidP="00D571B3">
            <w:pPr>
              <w:pStyle w:val="ListParagraph"/>
              <w:numPr>
                <w:ilvl w:val="0"/>
                <w:numId w:val="26"/>
              </w:numPr>
            </w:pPr>
            <w:r>
              <w:t xml:space="preserve">Richard </w:t>
            </w:r>
            <w:r w:rsidRPr="00F737F4">
              <w:t>Florida, The New Urban Crisis, Basic Books, 2017</w:t>
            </w:r>
          </w:p>
          <w:p w14:paraId="50079782" w14:textId="77777777" w:rsidR="000F5E12" w:rsidRPr="00F80EA0" w:rsidRDefault="000F5E12" w:rsidP="00D571B3">
            <w:pPr>
              <w:pStyle w:val="ListParagraph"/>
              <w:numPr>
                <w:ilvl w:val="1"/>
                <w:numId w:val="26"/>
              </w:numPr>
            </w:pPr>
            <w:r w:rsidRPr="00F737F4">
              <w:t>“Patchwork Metropolis”. Pp. 121-150</w:t>
            </w:r>
          </w:p>
        </w:tc>
      </w:tr>
      <w:tr w:rsidR="000F5E12" w14:paraId="7C324757" w14:textId="77777777" w:rsidTr="00D571B3">
        <w:tc>
          <w:tcPr>
            <w:tcW w:w="9350" w:type="dxa"/>
            <w:gridSpan w:val="2"/>
          </w:tcPr>
          <w:p w14:paraId="5A478015" w14:textId="77777777" w:rsidR="000F5E12" w:rsidRPr="00466AF3" w:rsidRDefault="000F5E12" w:rsidP="00D571B3">
            <w:pPr>
              <w:rPr>
                <w:b/>
                <w:bCs/>
              </w:rPr>
            </w:pPr>
            <w:r w:rsidRPr="00466AF3">
              <w:rPr>
                <w:b/>
                <w:bCs/>
              </w:rPr>
              <w:t>Seminar Leaders:</w:t>
            </w:r>
          </w:p>
          <w:p w14:paraId="040984A4" w14:textId="77777777" w:rsidR="000F5E12" w:rsidRDefault="000F5E12" w:rsidP="00D571B3">
            <w:r>
              <w:t>TBD</w:t>
            </w:r>
          </w:p>
        </w:tc>
      </w:tr>
    </w:tbl>
    <w:p w14:paraId="2FE7C48D" w14:textId="77777777" w:rsidR="000F5E12" w:rsidRDefault="000F5E12" w:rsidP="000F5E12"/>
    <w:tbl>
      <w:tblPr>
        <w:tblStyle w:val="TableGrid"/>
        <w:tblW w:w="0" w:type="auto"/>
        <w:tblLook w:val="04A0" w:firstRow="1" w:lastRow="0" w:firstColumn="1" w:lastColumn="0" w:noHBand="0" w:noVBand="1"/>
      </w:tblPr>
      <w:tblGrid>
        <w:gridCol w:w="2547"/>
        <w:gridCol w:w="6803"/>
      </w:tblGrid>
      <w:tr w:rsidR="000F5E12" w14:paraId="0F6FF36D" w14:textId="77777777" w:rsidTr="00D571B3">
        <w:tc>
          <w:tcPr>
            <w:tcW w:w="2547" w:type="dxa"/>
          </w:tcPr>
          <w:p w14:paraId="696C1715" w14:textId="77777777" w:rsidR="000F5E12" w:rsidRDefault="000F5E12" w:rsidP="00D571B3">
            <w:r w:rsidRPr="00466AF3">
              <w:rPr>
                <w:b/>
                <w:bCs/>
              </w:rPr>
              <w:t>Week 1</w:t>
            </w:r>
            <w:r>
              <w:rPr>
                <w:b/>
                <w:bCs/>
              </w:rPr>
              <w:t>3</w:t>
            </w:r>
            <w:r>
              <w:t xml:space="preserve"> (March 31)</w:t>
            </w:r>
          </w:p>
        </w:tc>
        <w:tc>
          <w:tcPr>
            <w:tcW w:w="6803" w:type="dxa"/>
          </w:tcPr>
          <w:p w14:paraId="72BE73DE" w14:textId="77777777" w:rsidR="000F5E12" w:rsidRPr="00466AF3" w:rsidRDefault="000F5E12" w:rsidP="00D571B3">
            <w:pPr>
              <w:rPr>
                <w:b/>
                <w:bCs/>
              </w:rPr>
            </w:pPr>
            <w:r w:rsidRPr="006E4B30">
              <w:rPr>
                <w:b/>
                <w:bCs/>
              </w:rPr>
              <w:t xml:space="preserve">Local Government, </w:t>
            </w:r>
            <w:r>
              <w:rPr>
                <w:b/>
                <w:bCs/>
              </w:rPr>
              <w:t xml:space="preserve">Local Actors and </w:t>
            </w:r>
            <w:r w:rsidRPr="006E4B30">
              <w:rPr>
                <w:b/>
                <w:bCs/>
              </w:rPr>
              <w:t>Economic Development Innovation</w:t>
            </w:r>
          </w:p>
        </w:tc>
      </w:tr>
      <w:tr w:rsidR="000F5E12" w14:paraId="64660EA5" w14:textId="77777777" w:rsidTr="00D571B3">
        <w:tc>
          <w:tcPr>
            <w:tcW w:w="9350" w:type="dxa"/>
            <w:gridSpan w:val="2"/>
          </w:tcPr>
          <w:p w14:paraId="54DA661A" w14:textId="77777777" w:rsidR="000F5E12" w:rsidRPr="00466AF3" w:rsidRDefault="000F5E12" w:rsidP="00D571B3">
            <w:pPr>
              <w:rPr>
                <w:b/>
                <w:bCs/>
              </w:rPr>
            </w:pPr>
            <w:r w:rsidRPr="00466AF3">
              <w:rPr>
                <w:b/>
                <w:bCs/>
              </w:rPr>
              <w:t>Overview:</w:t>
            </w:r>
          </w:p>
          <w:p w14:paraId="598BD48D" w14:textId="77777777" w:rsidR="000F5E12" w:rsidRDefault="000F5E12" w:rsidP="00D571B3">
            <w:r>
              <w:t>This class considers the key role of small groups in reorienting development within city-regions, and in responding to the challenges of innovation. It examines emerging tools and tactics of innovative city-regions as they seek to pursue new opportunities.</w:t>
            </w:r>
          </w:p>
        </w:tc>
      </w:tr>
      <w:tr w:rsidR="000F5E12" w14:paraId="1D321116" w14:textId="77777777" w:rsidTr="00D571B3">
        <w:tc>
          <w:tcPr>
            <w:tcW w:w="9350" w:type="dxa"/>
            <w:gridSpan w:val="2"/>
          </w:tcPr>
          <w:p w14:paraId="3A4CBF96" w14:textId="77777777" w:rsidR="000F5E12" w:rsidRPr="00466AF3" w:rsidRDefault="000F5E12" w:rsidP="00D571B3">
            <w:pPr>
              <w:rPr>
                <w:b/>
                <w:bCs/>
              </w:rPr>
            </w:pPr>
            <w:r w:rsidRPr="00466AF3">
              <w:rPr>
                <w:b/>
                <w:bCs/>
              </w:rPr>
              <w:t>Readings:</w:t>
            </w:r>
          </w:p>
          <w:p w14:paraId="2D5EA9B2" w14:textId="77777777" w:rsidR="000F5E12" w:rsidRDefault="000F5E12" w:rsidP="00D571B3">
            <w:pPr>
              <w:pStyle w:val="ListParagraph"/>
              <w:numPr>
                <w:ilvl w:val="0"/>
                <w:numId w:val="26"/>
              </w:numPr>
            </w:pPr>
            <w:proofErr w:type="spellStart"/>
            <w:r w:rsidRPr="00EE705C">
              <w:t>Mancur</w:t>
            </w:r>
            <w:proofErr w:type="spellEnd"/>
            <w:r w:rsidRPr="00EE705C">
              <w:t xml:space="preserve"> Olson, </w:t>
            </w:r>
            <w:r w:rsidRPr="00C26996">
              <w:rPr>
                <w:i/>
                <w:iCs/>
              </w:rPr>
              <w:t>The Logic of Collective Action: Public Goods and the Theory of Groups</w:t>
            </w:r>
            <w:r>
              <w:t>, Harvard University Press, 1965</w:t>
            </w:r>
          </w:p>
          <w:p w14:paraId="23A0E117" w14:textId="77777777" w:rsidR="000F5E12" w:rsidRPr="00EE705C" w:rsidRDefault="000F5E12" w:rsidP="00D571B3">
            <w:pPr>
              <w:pStyle w:val="ListParagraph"/>
              <w:numPr>
                <w:ilvl w:val="1"/>
                <w:numId w:val="26"/>
              </w:numPr>
            </w:pPr>
            <w:r>
              <w:t>“A Theory of Groups and Organizations” sections D, E and F, pp. 22-52</w:t>
            </w:r>
          </w:p>
          <w:p w14:paraId="6DE7F782" w14:textId="77777777" w:rsidR="000F5E12" w:rsidRPr="00E00A2A" w:rsidRDefault="000F5E12" w:rsidP="00D571B3">
            <w:pPr>
              <w:pStyle w:val="ListParagraph"/>
              <w:numPr>
                <w:ilvl w:val="0"/>
                <w:numId w:val="26"/>
              </w:numPr>
            </w:pPr>
            <w:r w:rsidRPr="00E00A2A">
              <w:t xml:space="preserve">Dag </w:t>
            </w:r>
            <w:proofErr w:type="spellStart"/>
            <w:r w:rsidRPr="00E00A2A">
              <w:t>Detter</w:t>
            </w:r>
            <w:proofErr w:type="spellEnd"/>
            <w:r w:rsidRPr="00E00A2A">
              <w:t xml:space="preserve"> and Stefan </w:t>
            </w:r>
            <w:proofErr w:type="spellStart"/>
            <w:r w:rsidRPr="00E00A2A">
              <w:t>Folster</w:t>
            </w:r>
            <w:proofErr w:type="spellEnd"/>
            <w:r w:rsidRPr="00E00A2A">
              <w:t xml:space="preserve">, </w:t>
            </w:r>
            <w:r w:rsidRPr="00E00A2A">
              <w:rPr>
                <w:i/>
                <w:iCs/>
              </w:rPr>
              <w:t>The Public Wealth of Nations</w:t>
            </w:r>
            <w:r w:rsidRPr="00E00A2A">
              <w:t>, Palgrave MacMillan, 2015</w:t>
            </w:r>
          </w:p>
          <w:p w14:paraId="770F335B" w14:textId="77777777" w:rsidR="000F5E12" w:rsidRDefault="000F5E12" w:rsidP="00D571B3">
            <w:pPr>
              <w:pStyle w:val="ListParagraph"/>
              <w:numPr>
                <w:ilvl w:val="1"/>
                <w:numId w:val="26"/>
              </w:numPr>
            </w:pPr>
            <w:r w:rsidRPr="00E00A2A">
              <w:t>“What Can Public Wealth Do for You?” pp. 1-15</w:t>
            </w:r>
          </w:p>
        </w:tc>
      </w:tr>
      <w:tr w:rsidR="000F5E12" w14:paraId="275B689E" w14:textId="77777777" w:rsidTr="00D571B3">
        <w:tc>
          <w:tcPr>
            <w:tcW w:w="9350" w:type="dxa"/>
            <w:gridSpan w:val="2"/>
          </w:tcPr>
          <w:p w14:paraId="24C6498B" w14:textId="77777777" w:rsidR="000F5E12" w:rsidRPr="00466AF3" w:rsidRDefault="000F5E12" w:rsidP="00D571B3">
            <w:pPr>
              <w:rPr>
                <w:b/>
                <w:bCs/>
              </w:rPr>
            </w:pPr>
            <w:r w:rsidRPr="00466AF3">
              <w:rPr>
                <w:b/>
                <w:bCs/>
              </w:rPr>
              <w:t>Seminar Leader Readings:</w:t>
            </w:r>
          </w:p>
          <w:p w14:paraId="66001716" w14:textId="77777777" w:rsidR="000F5E12" w:rsidRPr="00E00A2A" w:rsidRDefault="000F5E12" w:rsidP="00D571B3">
            <w:pPr>
              <w:pStyle w:val="ListParagraph"/>
              <w:numPr>
                <w:ilvl w:val="0"/>
                <w:numId w:val="26"/>
              </w:numPr>
            </w:pPr>
            <w:r w:rsidRPr="00E00A2A">
              <w:t xml:space="preserve">Dag </w:t>
            </w:r>
            <w:proofErr w:type="spellStart"/>
            <w:r w:rsidRPr="00E00A2A">
              <w:t>Detter</w:t>
            </w:r>
            <w:proofErr w:type="spellEnd"/>
            <w:r w:rsidRPr="00E00A2A">
              <w:t xml:space="preserve"> and Stefan </w:t>
            </w:r>
            <w:proofErr w:type="spellStart"/>
            <w:r w:rsidRPr="00E00A2A">
              <w:t>Folster</w:t>
            </w:r>
            <w:proofErr w:type="spellEnd"/>
            <w:r w:rsidRPr="00E00A2A">
              <w:t xml:space="preserve">, </w:t>
            </w:r>
            <w:r w:rsidRPr="00E00A2A">
              <w:rPr>
                <w:i/>
                <w:iCs/>
              </w:rPr>
              <w:t>The Public Wealth of Cities</w:t>
            </w:r>
            <w:r w:rsidRPr="00E00A2A">
              <w:t>, Brookings Institution Press, 2017</w:t>
            </w:r>
          </w:p>
          <w:p w14:paraId="2C828CAC" w14:textId="77777777" w:rsidR="000F5E12" w:rsidRDefault="000F5E12" w:rsidP="00D571B3">
            <w:pPr>
              <w:pStyle w:val="ListParagraph"/>
              <w:numPr>
                <w:ilvl w:val="1"/>
                <w:numId w:val="26"/>
              </w:numPr>
            </w:pPr>
            <w:r w:rsidRPr="00E00A2A">
              <w:t>“Succeeding with Urban Wealth Funds: Some Case Studies”, pp. 147-177</w:t>
            </w:r>
          </w:p>
        </w:tc>
      </w:tr>
      <w:tr w:rsidR="000F5E12" w14:paraId="0D1A1C0C" w14:textId="77777777" w:rsidTr="00D571B3">
        <w:tc>
          <w:tcPr>
            <w:tcW w:w="9350" w:type="dxa"/>
            <w:gridSpan w:val="2"/>
          </w:tcPr>
          <w:p w14:paraId="78C94FD5" w14:textId="77777777" w:rsidR="000F5E12" w:rsidRPr="00466AF3" w:rsidRDefault="000F5E12" w:rsidP="00D571B3">
            <w:pPr>
              <w:rPr>
                <w:b/>
                <w:bCs/>
              </w:rPr>
            </w:pPr>
            <w:r w:rsidRPr="00466AF3">
              <w:rPr>
                <w:b/>
                <w:bCs/>
              </w:rPr>
              <w:t>Seminar Leaders:</w:t>
            </w:r>
          </w:p>
          <w:p w14:paraId="5E08A7CC" w14:textId="77777777" w:rsidR="000F5E12" w:rsidRDefault="000F5E12" w:rsidP="00D571B3">
            <w:r>
              <w:t>TBD</w:t>
            </w:r>
          </w:p>
        </w:tc>
      </w:tr>
    </w:tbl>
    <w:p w14:paraId="3DB2B128" w14:textId="77777777" w:rsidR="000F5E12" w:rsidRDefault="000F5E12" w:rsidP="000F5E12">
      <w:pPr>
        <w:jc w:val="both"/>
        <w:sectPr w:rsidR="000F5E12" w:rsidSect="0055261D">
          <w:headerReference w:type="even" r:id="rId25"/>
          <w:headerReference w:type="default" r:id="rId26"/>
          <w:footerReference w:type="even" r:id="rId27"/>
          <w:footerReference w:type="default" r:id="rId28"/>
          <w:headerReference w:type="first" r:id="rId29"/>
          <w:pgSz w:w="12240" w:h="15840"/>
          <w:pgMar w:top="1440" w:right="1440" w:bottom="1440" w:left="1440" w:header="737" w:footer="1077" w:gutter="0"/>
          <w:cols w:space="708"/>
          <w:docGrid w:linePitch="360"/>
        </w:sectPr>
      </w:pPr>
    </w:p>
    <w:p w14:paraId="0B43193C" w14:textId="77777777" w:rsidR="000F5E12" w:rsidRDefault="000F5E12" w:rsidP="000F5E12">
      <w:pPr>
        <w:autoSpaceDE w:val="0"/>
        <w:autoSpaceDN w:val="0"/>
        <w:adjustRightInd w:val="0"/>
        <w:rPr>
          <w:rFonts w:cstheme="minorHAnsi"/>
          <w:b/>
          <w:bCs/>
          <w:color w:val="000000"/>
        </w:rPr>
      </w:pPr>
      <w:r w:rsidRPr="00342CD1">
        <w:rPr>
          <w:rFonts w:cstheme="minorHAnsi"/>
          <w:b/>
          <w:bCs/>
          <w:color w:val="000000"/>
        </w:rPr>
        <w:lastRenderedPageBreak/>
        <w:t>Assessment and Evaluation: Details</w:t>
      </w:r>
    </w:p>
    <w:p w14:paraId="282BD423" w14:textId="77777777" w:rsidR="000F5E12" w:rsidRDefault="000F5E12" w:rsidP="000F5E12">
      <w:pPr>
        <w:autoSpaceDE w:val="0"/>
        <w:autoSpaceDN w:val="0"/>
        <w:adjustRightInd w:val="0"/>
        <w:rPr>
          <w:rFonts w:cstheme="minorHAnsi"/>
          <w:color w:val="000000"/>
        </w:rPr>
      </w:pPr>
      <w:r>
        <w:rPr>
          <w:rFonts w:cstheme="minorHAnsi"/>
          <w:color w:val="000000"/>
        </w:rPr>
        <w:t xml:space="preserve">The following section outlines the various assignments and graded components for the course. It is expected that, in addition to the course readings and discussions, students will also make us of additional materials and resources including other academic and professional writings, current events, personal insights, etc. The ability to synthesize information from multiple sources and perspectives, and to marshal that information in support of a </w:t>
      </w:r>
      <w:proofErr w:type="gramStart"/>
      <w:r>
        <w:rPr>
          <w:rFonts w:cstheme="minorHAnsi"/>
          <w:color w:val="000000"/>
        </w:rPr>
        <w:t>particular thesis</w:t>
      </w:r>
      <w:proofErr w:type="gramEnd"/>
      <w:r>
        <w:rPr>
          <w:rFonts w:cstheme="minorHAnsi"/>
          <w:color w:val="000000"/>
        </w:rPr>
        <w:t xml:space="preserve"> or point of view will be critical in these assignments.</w:t>
      </w:r>
    </w:p>
    <w:p w14:paraId="3476052D" w14:textId="77777777" w:rsidR="000F5E12" w:rsidRDefault="000F5E12" w:rsidP="000F5E12">
      <w:pPr>
        <w:autoSpaceDE w:val="0"/>
        <w:autoSpaceDN w:val="0"/>
        <w:adjustRightInd w:val="0"/>
        <w:rPr>
          <w:rFonts w:cstheme="minorHAnsi"/>
          <w:color w:val="000000"/>
        </w:rPr>
      </w:pPr>
    </w:p>
    <w:p w14:paraId="2EB16D9C" w14:textId="77777777" w:rsidR="000F5E12" w:rsidRDefault="000F5E12" w:rsidP="000F5E12">
      <w:pPr>
        <w:autoSpaceDE w:val="0"/>
        <w:autoSpaceDN w:val="0"/>
        <w:adjustRightInd w:val="0"/>
        <w:rPr>
          <w:rFonts w:cstheme="minorHAnsi"/>
          <w:color w:val="000000"/>
        </w:rPr>
      </w:pPr>
      <w:r>
        <w:t>All</w:t>
      </w:r>
      <w:r w:rsidRPr="00BD68D9">
        <w:t xml:space="preserve"> paper</w:t>
      </w:r>
      <w:r>
        <w:t>s</w:t>
      </w:r>
      <w:r w:rsidRPr="00BD68D9">
        <w:t xml:space="preserve"> must include resources</w:t>
      </w:r>
      <w:r>
        <w:t xml:space="preserve"> and references, using </w:t>
      </w:r>
      <w:r w:rsidRPr="00BC7560">
        <w:t>the ‘APA style’ (American Psychological Association)</w:t>
      </w:r>
      <w:r>
        <w:t>. This must include academic references, and might include additional resources like government documents, statistics, newspaper and magazines articles.</w:t>
      </w:r>
    </w:p>
    <w:p w14:paraId="67C6C07A" w14:textId="77777777" w:rsidR="000F5E12" w:rsidRDefault="000F5E12" w:rsidP="000F5E12">
      <w:pPr>
        <w:autoSpaceDE w:val="0"/>
        <w:autoSpaceDN w:val="0"/>
        <w:adjustRightInd w:val="0"/>
        <w:rPr>
          <w:rFonts w:cstheme="minorHAnsi"/>
          <w:color w:val="000000"/>
        </w:rPr>
      </w:pPr>
    </w:p>
    <w:p w14:paraId="4ED2FB1C" w14:textId="77777777" w:rsidR="000F5E12" w:rsidRPr="003D2897" w:rsidRDefault="000F5E12" w:rsidP="000F5E12">
      <w:pPr>
        <w:jc w:val="both"/>
      </w:pPr>
      <w:r w:rsidRPr="00FC3050">
        <w:t xml:space="preserve">I encourage you to communicate with me </w:t>
      </w:r>
      <w:r w:rsidRPr="003D2897">
        <w:rPr>
          <w:u w:val="single"/>
        </w:rPr>
        <w:t>ahead of time</w:t>
      </w:r>
      <w:r>
        <w:t xml:space="preserve"> </w:t>
      </w:r>
      <w:r w:rsidRPr="00FC3050">
        <w:t>if</w:t>
      </w:r>
      <w:r>
        <w:t xml:space="preserve"> there are any questions, concerns or other issues about any of these assignments. </w:t>
      </w:r>
    </w:p>
    <w:p w14:paraId="0EF84581" w14:textId="77777777" w:rsidR="000F5E12" w:rsidRDefault="000F5E12" w:rsidP="000F5E12">
      <w:pPr>
        <w:autoSpaceDE w:val="0"/>
        <w:autoSpaceDN w:val="0"/>
        <w:adjustRightInd w:val="0"/>
        <w:rPr>
          <w:rFonts w:cstheme="minorHAnsi"/>
          <w:color w:val="000000"/>
        </w:rPr>
      </w:pPr>
    </w:p>
    <w:p w14:paraId="658F21A7" w14:textId="77777777" w:rsidR="000F5E12" w:rsidRPr="00E042CF" w:rsidRDefault="000F5E12" w:rsidP="000F5E12">
      <w:pPr>
        <w:autoSpaceDE w:val="0"/>
        <w:autoSpaceDN w:val="0"/>
        <w:adjustRightInd w:val="0"/>
        <w:rPr>
          <w:rFonts w:cstheme="minorHAnsi"/>
          <w:color w:val="000000"/>
        </w:rPr>
      </w:pPr>
      <w:r>
        <w:rPr>
          <w:rFonts w:cstheme="minorHAnsi"/>
          <w:color w:val="000000"/>
        </w:rPr>
        <w:t xml:space="preserve">The following overview addresses each of the graded components of the course. </w:t>
      </w:r>
    </w:p>
    <w:p w14:paraId="3F0B01EC" w14:textId="77777777" w:rsidR="000F5E12" w:rsidRPr="00342CD1" w:rsidRDefault="000F5E12" w:rsidP="000F5E12">
      <w:pPr>
        <w:autoSpaceDE w:val="0"/>
        <w:autoSpaceDN w:val="0"/>
        <w:adjustRightInd w:val="0"/>
        <w:rPr>
          <w:rFonts w:cstheme="minorHAnsi"/>
          <w:color w:val="000000"/>
        </w:rPr>
      </w:pPr>
    </w:p>
    <w:p w14:paraId="2455970C" w14:textId="77777777" w:rsidR="000F5E12" w:rsidRDefault="000F5E12" w:rsidP="000F5E12">
      <w:pPr>
        <w:autoSpaceDE w:val="0"/>
        <w:autoSpaceDN w:val="0"/>
        <w:adjustRightInd w:val="0"/>
        <w:rPr>
          <w:rFonts w:cstheme="minorHAnsi"/>
          <w:b/>
          <w:bCs/>
          <w:color w:val="000000"/>
        </w:rPr>
      </w:pPr>
      <w:r>
        <w:rPr>
          <w:rFonts w:cstheme="minorHAnsi"/>
          <w:b/>
          <w:bCs/>
          <w:color w:val="000000"/>
        </w:rPr>
        <w:t>Concept</w:t>
      </w:r>
      <w:r w:rsidRPr="00342CD1">
        <w:rPr>
          <w:rFonts w:cstheme="minorHAnsi"/>
          <w:b/>
          <w:bCs/>
          <w:color w:val="000000"/>
        </w:rPr>
        <w:t xml:space="preserve"> Paper </w:t>
      </w:r>
      <w:r>
        <w:rPr>
          <w:rFonts w:cstheme="minorHAnsi"/>
          <w:b/>
          <w:bCs/>
          <w:color w:val="000000"/>
        </w:rPr>
        <w:t xml:space="preserve">– “Innovation” </w:t>
      </w:r>
      <w:r w:rsidRPr="00342CD1">
        <w:rPr>
          <w:rFonts w:cstheme="minorHAnsi"/>
          <w:b/>
          <w:bCs/>
          <w:color w:val="000000"/>
        </w:rPr>
        <w:t>(10%</w:t>
      </w:r>
      <w:r>
        <w:rPr>
          <w:rFonts w:cstheme="minorHAnsi"/>
          <w:b/>
          <w:bCs/>
          <w:color w:val="000000"/>
        </w:rPr>
        <w:t xml:space="preserve"> of final grade</w:t>
      </w:r>
      <w:r w:rsidRPr="00342CD1">
        <w:rPr>
          <w:rFonts w:cstheme="minorHAnsi"/>
          <w:b/>
          <w:bCs/>
          <w:color w:val="000000"/>
        </w:rPr>
        <w:t>)</w:t>
      </w:r>
    </w:p>
    <w:p w14:paraId="029078CF" w14:textId="77777777" w:rsidR="000F5E12" w:rsidRDefault="000F5E12" w:rsidP="000F5E12">
      <w:pPr>
        <w:autoSpaceDE w:val="0"/>
        <w:autoSpaceDN w:val="0"/>
        <w:adjustRightInd w:val="0"/>
        <w:rPr>
          <w:rFonts w:cstheme="minorHAnsi"/>
          <w:color w:val="000000"/>
        </w:rPr>
      </w:pPr>
      <w:r w:rsidRPr="00342CD1">
        <w:rPr>
          <w:rFonts w:cstheme="minorHAnsi"/>
          <w:color w:val="000000"/>
        </w:rPr>
        <w:t>Students will be asked to write</w:t>
      </w:r>
      <w:r>
        <w:rPr>
          <w:rFonts w:cstheme="minorHAnsi"/>
          <w:color w:val="000000"/>
        </w:rPr>
        <w:t xml:space="preserve"> a</w:t>
      </w:r>
      <w:r w:rsidRPr="00342CD1">
        <w:rPr>
          <w:rFonts w:cstheme="minorHAnsi"/>
          <w:color w:val="000000"/>
        </w:rPr>
        <w:t xml:space="preserve"> critical </w:t>
      </w:r>
      <w:proofErr w:type="gramStart"/>
      <w:r>
        <w:rPr>
          <w:rFonts w:cstheme="minorHAnsi"/>
          <w:color w:val="000000"/>
        </w:rPr>
        <w:t>8-10 page</w:t>
      </w:r>
      <w:proofErr w:type="gramEnd"/>
      <w:r>
        <w:rPr>
          <w:rFonts w:cstheme="minorHAnsi"/>
          <w:color w:val="000000"/>
        </w:rPr>
        <w:t xml:space="preserve"> (12 point font, double-spaced) </w:t>
      </w:r>
      <w:r w:rsidRPr="00342CD1">
        <w:rPr>
          <w:rFonts w:cstheme="minorHAnsi"/>
          <w:color w:val="000000"/>
        </w:rPr>
        <w:t xml:space="preserve">response paper that provides an assessment </w:t>
      </w:r>
      <w:r>
        <w:rPr>
          <w:rFonts w:cstheme="minorHAnsi"/>
          <w:color w:val="000000"/>
        </w:rPr>
        <w:t xml:space="preserve">and analysis </w:t>
      </w:r>
      <w:r w:rsidRPr="00342CD1">
        <w:rPr>
          <w:rFonts w:cstheme="minorHAnsi"/>
          <w:color w:val="000000"/>
        </w:rPr>
        <w:t>of the weekly readings</w:t>
      </w:r>
      <w:r>
        <w:rPr>
          <w:rFonts w:cstheme="minorHAnsi"/>
          <w:color w:val="000000"/>
        </w:rPr>
        <w:t>, presentation content and class discussion from Weeks 2 &amp; 3 of the class, comprising the course’s introductory material</w:t>
      </w:r>
      <w:r w:rsidRPr="00342CD1">
        <w:rPr>
          <w:rFonts w:cstheme="minorHAnsi"/>
          <w:color w:val="000000"/>
        </w:rPr>
        <w:t xml:space="preserve">. This must be handed in </w:t>
      </w:r>
      <w:r>
        <w:rPr>
          <w:rFonts w:cstheme="minorHAnsi"/>
          <w:color w:val="000000"/>
        </w:rPr>
        <w:t>by midnight on January 28.</w:t>
      </w:r>
    </w:p>
    <w:p w14:paraId="7B7761AE" w14:textId="77777777" w:rsidR="000F5E12" w:rsidRDefault="000F5E12" w:rsidP="000F5E12">
      <w:pPr>
        <w:autoSpaceDE w:val="0"/>
        <w:autoSpaceDN w:val="0"/>
        <w:adjustRightInd w:val="0"/>
        <w:rPr>
          <w:rFonts w:cstheme="minorHAnsi"/>
          <w:color w:val="000000"/>
        </w:rPr>
      </w:pPr>
    </w:p>
    <w:p w14:paraId="2DEB512B" w14:textId="77777777" w:rsidR="000F5E12" w:rsidRDefault="000F5E12" w:rsidP="000F5E12">
      <w:pPr>
        <w:autoSpaceDE w:val="0"/>
        <w:autoSpaceDN w:val="0"/>
        <w:adjustRightInd w:val="0"/>
        <w:rPr>
          <w:rFonts w:cstheme="minorHAnsi"/>
          <w:color w:val="000000"/>
        </w:rPr>
      </w:pPr>
      <w:r>
        <w:rPr>
          <w:rFonts w:cstheme="minorHAnsi"/>
          <w:color w:val="000000"/>
        </w:rPr>
        <w:t>The intent of this paper is for students to confirm that they have understood and internalized key concepts about innovation in cities and regions, and that they can reflect critically on the content covered. This will also provide an opportunity for early feedback from the course instructor.</w:t>
      </w:r>
    </w:p>
    <w:p w14:paraId="379599E4" w14:textId="77777777" w:rsidR="000F5E12" w:rsidRPr="00342CD1" w:rsidRDefault="000F5E12" w:rsidP="000F5E12">
      <w:pPr>
        <w:autoSpaceDE w:val="0"/>
        <w:autoSpaceDN w:val="0"/>
        <w:adjustRightInd w:val="0"/>
        <w:rPr>
          <w:rFonts w:cstheme="minorHAnsi"/>
          <w:color w:val="000000"/>
        </w:rPr>
      </w:pPr>
    </w:p>
    <w:p w14:paraId="013D8D4F" w14:textId="77777777" w:rsidR="000F5E12" w:rsidRDefault="000F5E12" w:rsidP="000F5E12">
      <w:pPr>
        <w:pStyle w:val="Default"/>
        <w:rPr>
          <w:rFonts w:asciiTheme="minorHAnsi" w:hAnsiTheme="minorHAnsi" w:cstheme="minorHAnsi"/>
          <w:b/>
          <w:bCs/>
        </w:rPr>
      </w:pPr>
      <w:r w:rsidRPr="00510619">
        <w:rPr>
          <w:rFonts w:asciiTheme="minorHAnsi" w:hAnsiTheme="minorHAnsi" w:cstheme="minorHAnsi"/>
          <w:b/>
          <w:bCs/>
        </w:rPr>
        <w:t xml:space="preserve">Classroom </w:t>
      </w:r>
      <w:r>
        <w:rPr>
          <w:rFonts w:asciiTheme="minorHAnsi" w:hAnsiTheme="minorHAnsi" w:cstheme="minorHAnsi"/>
          <w:b/>
          <w:bCs/>
        </w:rPr>
        <w:t>E</w:t>
      </w:r>
      <w:r w:rsidRPr="00510619">
        <w:rPr>
          <w:rFonts w:asciiTheme="minorHAnsi" w:hAnsiTheme="minorHAnsi" w:cstheme="minorHAnsi"/>
          <w:b/>
          <w:bCs/>
        </w:rPr>
        <w:t>ngagement (20%</w:t>
      </w:r>
      <w:r>
        <w:rPr>
          <w:rFonts w:asciiTheme="minorHAnsi" w:hAnsiTheme="minorHAnsi" w:cstheme="minorHAnsi"/>
          <w:b/>
          <w:bCs/>
        </w:rPr>
        <w:t xml:space="preserve"> of final grade</w:t>
      </w:r>
      <w:r w:rsidRPr="00510619">
        <w:rPr>
          <w:rFonts w:asciiTheme="minorHAnsi" w:hAnsiTheme="minorHAnsi" w:cstheme="minorHAnsi"/>
          <w:b/>
          <w:bCs/>
        </w:rPr>
        <w:t>)</w:t>
      </w:r>
    </w:p>
    <w:p w14:paraId="3162BC22" w14:textId="77777777" w:rsidR="000F5E12" w:rsidRDefault="000F5E12" w:rsidP="000F5E12">
      <w:pPr>
        <w:pStyle w:val="Default"/>
        <w:rPr>
          <w:rFonts w:asciiTheme="minorHAnsi" w:hAnsiTheme="minorHAnsi" w:cstheme="minorHAnsi"/>
        </w:rPr>
      </w:pPr>
      <w:r w:rsidRPr="00510619">
        <w:rPr>
          <w:rFonts w:asciiTheme="minorHAnsi" w:hAnsiTheme="minorHAnsi" w:cstheme="minorHAnsi"/>
        </w:rPr>
        <w:t xml:space="preserve">Attendance is a necessary but not </w:t>
      </w:r>
      <w:proofErr w:type="gramStart"/>
      <w:r w:rsidRPr="00510619">
        <w:rPr>
          <w:rFonts w:asciiTheme="minorHAnsi" w:hAnsiTheme="minorHAnsi" w:cstheme="minorHAnsi"/>
        </w:rPr>
        <w:t>sufficient</w:t>
      </w:r>
      <w:proofErr w:type="gramEnd"/>
      <w:r w:rsidRPr="00510619">
        <w:rPr>
          <w:rFonts w:asciiTheme="minorHAnsi" w:hAnsiTheme="minorHAnsi" w:cstheme="minorHAnsi"/>
        </w:rPr>
        <w:t xml:space="preserve"> condition for classroom participation and engagement. Perfect attendance (</w:t>
      </w:r>
      <w:proofErr w:type="gramStart"/>
      <w:r w:rsidRPr="00510619">
        <w:rPr>
          <w:rFonts w:asciiTheme="minorHAnsi" w:hAnsiTheme="minorHAnsi" w:cstheme="minorHAnsi"/>
        </w:rPr>
        <w:t>with the exception of</w:t>
      </w:r>
      <w:proofErr w:type="gramEnd"/>
      <w:r w:rsidRPr="00510619">
        <w:rPr>
          <w:rFonts w:asciiTheme="minorHAnsi" w:hAnsiTheme="minorHAnsi" w:cstheme="minorHAnsi"/>
        </w:rPr>
        <w:t xml:space="preserve"> excused absences due to illness, religious holidays or family emergencies) and routine participation are expected from all students. You are expected to do </w:t>
      </w:r>
      <w:proofErr w:type="gramStart"/>
      <w:r w:rsidRPr="00510619">
        <w:rPr>
          <w:rFonts w:asciiTheme="minorHAnsi" w:hAnsiTheme="minorHAnsi" w:cstheme="minorHAnsi"/>
        </w:rPr>
        <w:t>all of</w:t>
      </w:r>
      <w:proofErr w:type="gramEnd"/>
      <w:r w:rsidRPr="00510619">
        <w:rPr>
          <w:rFonts w:asciiTheme="minorHAnsi" w:hAnsiTheme="minorHAnsi" w:cstheme="minorHAnsi"/>
        </w:rPr>
        <w:t xml:space="preserve"> the required readings thoughtfully and carefully, with time to think them over critically before you arrive in class.</w:t>
      </w:r>
      <w:r>
        <w:rPr>
          <w:rFonts w:asciiTheme="minorHAnsi" w:hAnsiTheme="minorHAnsi" w:cstheme="minorHAnsi"/>
        </w:rPr>
        <w:t xml:space="preserve"> </w:t>
      </w:r>
      <w:r w:rsidRPr="00510619">
        <w:rPr>
          <w:rFonts w:asciiTheme="minorHAnsi" w:hAnsiTheme="minorHAnsi" w:cstheme="minorHAnsi"/>
        </w:rPr>
        <w:t>Thus, all members of the seminar are expected to have completed (at minimum) the required readings prior to class and are expected to be active participants in classroom discussions.</w:t>
      </w:r>
    </w:p>
    <w:p w14:paraId="33D8332E" w14:textId="77777777" w:rsidR="000F5E12" w:rsidRDefault="000F5E12" w:rsidP="000F5E12">
      <w:pPr>
        <w:pStyle w:val="Default"/>
        <w:rPr>
          <w:rFonts w:asciiTheme="minorHAnsi" w:hAnsiTheme="minorHAnsi" w:cstheme="minorHAnsi"/>
        </w:rPr>
      </w:pPr>
    </w:p>
    <w:p w14:paraId="08302DFD" w14:textId="77777777" w:rsidR="000F5E12" w:rsidRDefault="000F5E12" w:rsidP="000F5E12">
      <w:pPr>
        <w:pStyle w:val="Default"/>
        <w:rPr>
          <w:rFonts w:asciiTheme="minorHAnsi" w:hAnsiTheme="minorHAnsi" w:cstheme="minorHAnsi"/>
        </w:rPr>
      </w:pPr>
      <w:r>
        <w:rPr>
          <w:rFonts w:asciiTheme="minorHAnsi" w:hAnsiTheme="minorHAnsi" w:cstheme="minorHAnsi"/>
        </w:rPr>
        <w:t>Because this is a graduate seminar style class, the success of the course relies heavily on the active participation and proactive contributions of all students. Such contribution may include (but is not limited to) analysis of course readings, inclusion of ideas and material form readings and research external to the course, personal insights and opinions, and professional or volunteer experiences of relevance.</w:t>
      </w:r>
    </w:p>
    <w:p w14:paraId="3B60FC91" w14:textId="77777777" w:rsidR="000F5E12" w:rsidRDefault="000F5E12" w:rsidP="000F5E12">
      <w:pPr>
        <w:pStyle w:val="Default"/>
        <w:rPr>
          <w:rFonts w:asciiTheme="minorHAnsi" w:hAnsiTheme="minorHAnsi" w:cstheme="minorHAnsi"/>
        </w:rPr>
      </w:pPr>
    </w:p>
    <w:p w14:paraId="12C62AF8" w14:textId="77777777" w:rsidR="000F5E12" w:rsidRDefault="000F5E12" w:rsidP="000F5E12">
      <w:pPr>
        <w:pStyle w:val="Default"/>
        <w:rPr>
          <w:rFonts w:asciiTheme="minorHAnsi" w:hAnsiTheme="minorHAnsi" w:cstheme="minorHAnsi"/>
        </w:rPr>
      </w:pPr>
      <w:r w:rsidRPr="00510619">
        <w:rPr>
          <w:rFonts w:asciiTheme="minorHAnsi" w:hAnsiTheme="minorHAnsi" w:cstheme="minorHAnsi"/>
        </w:rPr>
        <w:lastRenderedPageBreak/>
        <w:t>Classroom participation includes making meaningful contributions to discussions in class; synthesizing ideas; offering critical appraisals and analysis of research, articles and ideas; and asking thoughtful questions. Participation also includes engaging with material outside of the classroom. Students are encouraged to share relevant newspaper articles, policy reports or other current materials related to the weekly topics.</w:t>
      </w:r>
    </w:p>
    <w:p w14:paraId="576B379F" w14:textId="77777777" w:rsidR="000F5E12" w:rsidRDefault="000F5E12" w:rsidP="000F5E12">
      <w:pPr>
        <w:pStyle w:val="Default"/>
        <w:rPr>
          <w:rFonts w:asciiTheme="minorHAnsi" w:hAnsiTheme="minorHAnsi" w:cstheme="minorHAnsi"/>
        </w:rPr>
      </w:pPr>
    </w:p>
    <w:p w14:paraId="4741AC32" w14:textId="77777777" w:rsidR="000F5E12" w:rsidRDefault="000F5E12" w:rsidP="000F5E12">
      <w:pPr>
        <w:autoSpaceDE w:val="0"/>
        <w:autoSpaceDN w:val="0"/>
        <w:adjustRightInd w:val="0"/>
        <w:rPr>
          <w:rFonts w:cstheme="minorHAnsi"/>
          <w:color w:val="000000"/>
        </w:rPr>
      </w:pPr>
      <w:r w:rsidRPr="00510619">
        <w:rPr>
          <w:rFonts w:cstheme="minorHAnsi"/>
          <w:b/>
          <w:bCs/>
          <w:color w:val="000000"/>
        </w:rPr>
        <w:t>Seminar presentation (</w:t>
      </w:r>
      <w:r>
        <w:rPr>
          <w:rFonts w:cstheme="minorHAnsi"/>
          <w:b/>
          <w:bCs/>
          <w:color w:val="000000"/>
        </w:rPr>
        <w:t>20</w:t>
      </w:r>
      <w:r w:rsidRPr="00510619">
        <w:rPr>
          <w:rFonts w:cstheme="minorHAnsi"/>
          <w:b/>
          <w:bCs/>
          <w:color w:val="000000"/>
        </w:rPr>
        <w:t>%</w:t>
      </w:r>
      <w:r>
        <w:rPr>
          <w:rFonts w:cstheme="minorHAnsi"/>
          <w:b/>
          <w:bCs/>
          <w:color w:val="000000"/>
        </w:rPr>
        <w:t xml:space="preserve"> of final grade</w:t>
      </w:r>
      <w:r w:rsidRPr="00510619">
        <w:rPr>
          <w:rFonts w:cstheme="minorHAnsi"/>
          <w:b/>
          <w:bCs/>
          <w:color w:val="000000"/>
        </w:rPr>
        <w:t xml:space="preserve">) </w:t>
      </w:r>
      <w:r w:rsidRPr="00510619">
        <w:rPr>
          <w:rFonts w:cstheme="minorHAnsi"/>
          <w:color w:val="000000"/>
        </w:rPr>
        <w:t>– Each week</w:t>
      </w:r>
      <w:r>
        <w:rPr>
          <w:rFonts w:cstheme="minorHAnsi"/>
          <w:color w:val="000000"/>
        </w:rPr>
        <w:t xml:space="preserve"> beginning in Week 4</w:t>
      </w:r>
      <w:r w:rsidRPr="00510619">
        <w:rPr>
          <w:rFonts w:cstheme="minorHAnsi"/>
          <w:color w:val="000000"/>
        </w:rPr>
        <w:t>, students (</w:t>
      </w:r>
      <w:r>
        <w:rPr>
          <w:rFonts w:cstheme="minorHAnsi"/>
          <w:color w:val="000000"/>
        </w:rPr>
        <w:t xml:space="preserve">in assigned </w:t>
      </w:r>
      <w:r w:rsidRPr="00510619">
        <w:rPr>
          <w:rFonts w:cstheme="minorHAnsi"/>
          <w:color w:val="000000"/>
        </w:rPr>
        <w:t>groups</w:t>
      </w:r>
      <w:r>
        <w:rPr>
          <w:rFonts w:cstheme="minorHAnsi"/>
          <w:color w:val="000000"/>
        </w:rPr>
        <w:t xml:space="preserve"> of 2-3</w:t>
      </w:r>
      <w:r w:rsidRPr="00510619">
        <w:rPr>
          <w:rFonts w:cstheme="minorHAnsi"/>
          <w:color w:val="000000"/>
        </w:rPr>
        <w:t xml:space="preserve">, depending on </w:t>
      </w:r>
      <w:r>
        <w:rPr>
          <w:rFonts w:cstheme="minorHAnsi"/>
          <w:color w:val="000000"/>
        </w:rPr>
        <w:t xml:space="preserve">final </w:t>
      </w:r>
      <w:r w:rsidRPr="00510619">
        <w:rPr>
          <w:rFonts w:cstheme="minorHAnsi"/>
          <w:color w:val="000000"/>
        </w:rPr>
        <w:t xml:space="preserve">class size) will be responsible for introducing and leading </w:t>
      </w:r>
      <w:r>
        <w:rPr>
          <w:rFonts w:cstheme="minorHAnsi"/>
          <w:color w:val="000000"/>
        </w:rPr>
        <w:t xml:space="preserve">the </w:t>
      </w:r>
      <w:r w:rsidRPr="00510619">
        <w:rPr>
          <w:rFonts w:cstheme="minorHAnsi"/>
          <w:color w:val="000000"/>
        </w:rPr>
        <w:t xml:space="preserve">discussion on </w:t>
      </w:r>
      <w:r>
        <w:rPr>
          <w:rFonts w:cstheme="minorHAnsi"/>
          <w:color w:val="000000"/>
        </w:rPr>
        <w:t xml:space="preserve">the </w:t>
      </w:r>
      <w:proofErr w:type="gramStart"/>
      <w:r w:rsidRPr="00510619">
        <w:rPr>
          <w:rFonts w:cstheme="minorHAnsi"/>
          <w:color w:val="000000"/>
        </w:rPr>
        <w:t>particular readings</w:t>
      </w:r>
      <w:proofErr w:type="gramEnd"/>
      <w:r w:rsidRPr="00510619">
        <w:rPr>
          <w:rFonts w:cstheme="minorHAnsi"/>
          <w:color w:val="000000"/>
        </w:rPr>
        <w:t xml:space="preserve"> and the broader topic for that week. Topics for the seminars will be determined by the instructor as set out in the course schedule. Seminar leaders are expected to have read well beyond the minimum required readings</w:t>
      </w:r>
      <w:r>
        <w:rPr>
          <w:rFonts w:cstheme="minorHAnsi"/>
          <w:color w:val="000000"/>
        </w:rPr>
        <w:t xml:space="preserve"> (including one additional required reading)</w:t>
      </w:r>
      <w:r w:rsidRPr="00510619">
        <w:rPr>
          <w:rFonts w:cstheme="minorHAnsi"/>
          <w:color w:val="000000"/>
        </w:rPr>
        <w:t>, provide a brief summary and critique of the articles, and present a synthesis of the key themes and issues.</w:t>
      </w:r>
    </w:p>
    <w:p w14:paraId="3D77E769" w14:textId="77777777" w:rsidR="000F5E12" w:rsidRDefault="000F5E12" w:rsidP="000F5E12">
      <w:pPr>
        <w:autoSpaceDE w:val="0"/>
        <w:autoSpaceDN w:val="0"/>
        <w:adjustRightInd w:val="0"/>
        <w:rPr>
          <w:rFonts w:cstheme="minorHAnsi"/>
          <w:color w:val="000000"/>
        </w:rPr>
      </w:pPr>
    </w:p>
    <w:p w14:paraId="3BF57A8A" w14:textId="77777777" w:rsidR="000F5E12" w:rsidRDefault="000F5E12" w:rsidP="000F5E12">
      <w:pPr>
        <w:autoSpaceDE w:val="0"/>
        <w:autoSpaceDN w:val="0"/>
        <w:adjustRightInd w:val="0"/>
        <w:rPr>
          <w:rFonts w:cstheme="minorHAnsi"/>
          <w:color w:val="000000"/>
        </w:rPr>
      </w:pPr>
      <w:r>
        <w:rPr>
          <w:rFonts w:cstheme="minorHAnsi"/>
          <w:color w:val="000000"/>
        </w:rPr>
        <w:t xml:space="preserve">Seminars should consist of 40 to 60 minutes of formal presentation, including </w:t>
      </w:r>
      <w:r>
        <w:t xml:space="preserve">a discussion of the reading material for the week. How formal a presentation (e.g. doe sit use PowerPoint, etc.) is at the discretion of the presenting team. This formal presentation is </w:t>
      </w:r>
      <w:r>
        <w:rPr>
          <w:rFonts w:cstheme="minorHAnsi"/>
          <w:color w:val="000000"/>
        </w:rPr>
        <w:t xml:space="preserve">followed by the same period of facilitated group discussion, interaction and </w:t>
      </w:r>
      <w:r>
        <w:t>open discussion/activities based on the readings/theme.</w:t>
      </w:r>
      <w:r>
        <w:rPr>
          <w:rFonts w:cstheme="minorHAnsi"/>
          <w:color w:val="000000"/>
        </w:rPr>
        <w:t xml:space="preserve"> Students should feel free to approach these activities creatively </w:t>
      </w:r>
      <w:r>
        <w:t>(e.g. case studies, debates etc.)</w:t>
      </w:r>
      <w:r>
        <w:rPr>
          <w:rFonts w:cstheme="minorHAnsi"/>
          <w:color w:val="000000"/>
        </w:rPr>
        <w:t>, while keeping in mind the professional and academic nature of the course.</w:t>
      </w:r>
    </w:p>
    <w:p w14:paraId="536AE057" w14:textId="77777777" w:rsidR="000F5E12" w:rsidRDefault="000F5E12" w:rsidP="000F5E12">
      <w:pPr>
        <w:autoSpaceDE w:val="0"/>
        <w:autoSpaceDN w:val="0"/>
        <w:adjustRightInd w:val="0"/>
        <w:rPr>
          <w:rFonts w:cstheme="minorHAnsi"/>
          <w:color w:val="000000"/>
        </w:rPr>
      </w:pPr>
    </w:p>
    <w:p w14:paraId="462D4C23" w14:textId="77777777" w:rsidR="000F5E12" w:rsidRDefault="000F5E12" w:rsidP="000F5E12">
      <w:pPr>
        <w:autoSpaceDE w:val="0"/>
        <w:autoSpaceDN w:val="0"/>
        <w:adjustRightInd w:val="0"/>
        <w:rPr>
          <w:rFonts w:cstheme="minorHAnsi"/>
          <w:color w:val="000000"/>
        </w:rPr>
      </w:pPr>
      <w:r>
        <w:rPr>
          <w:rFonts w:cstheme="minorHAnsi"/>
          <w:color w:val="000000"/>
        </w:rPr>
        <w:t>Content is meant to be wide-ranging and engaging. Do not bore your classmates! Among the ideas you may wish to explore are:</w:t>
      </w:r>
    </w:p>
    <w:p w14:paraId="52CEAF15" w14:textId="77777777" w:rsidR="000F5E12" w:rsidRDefault="000F5E12" w:rsidP="000F5E12">
      <w:pPr>
        <w:autoSpaceDE w:val="0"/>
        <w:autoSpaceDN w:val="0"/>
        <w:adjustRightInd w:val="0"/>
        <w:rPr>
          <w:rFonts w:cstheme="minorHAnsi"/>
          <w:color w:val="000000"/>
        </w:rPr>
      </w:pPr>
    </w:p>
    <w:p w14:paraId="5E1FA6B2" w14:textId="77777777" w:rsidR="000F5E12" w:rsidRDefault="000F5E12" w:rsidP="000F5E12">
      <w:pPr>
        <w:numPr>
          <w:ilvl w:val="0"/>
          <w:numId w:val="8"/>
        </w:numPr>
      </w:pPr>
      <w:r>
        <w:t>Who are the authors we are considering, and how does their background influence their perspective?</w:t>
      </w:r>
    </w:p>
    <w:p w14:paraId="7F4AF458" w14:textId="77777777" w:rsidR="000F5E12" w:rsidRPr="005F5BE4" w:rsidRDefault="000F5E12" w:rsidP="000F5E12">
      <w:pPr>
        <w:numPr>
          <w:ilvl w:val="0"/>
          <w:numId w:val="8"/>
        </w:numPr>
      </w:pPr>
      <w:r w:rsidRPr="005F5BE4">
        <w:t>What are the authors’ main arguments?</w:t>
      </w:r>
    </w:p>
    <w:p w14:paraId="798CD392" w14:textId="77777777" w:rsidR="000F5E12" w:rsidRPr="005F5BE4" w:rsidRDefault="000F5E12" w:rsidP="000F5E12">
      <w:pPr>
        <w:numPr>
          <w:ilvl w:val="0"/>
          <w:numId w:val="8"/>
        </w:numPr>
      </w:pPr>
      <w:r>
        <w:t>What is</w:t>
      </w:r>
      <w:r w:rsidRPr="005F5BE4">
        <w:t xml:space="preserve"> the basis of their argument (i.e., theory, evidence, methods)?</w:t>
      </w:r>
    </w:p>
    <w:p w14:paraId="2A9D6EC4" w14:textId="77777777" w:rsidR="000F5E12" w:rsidRPr="005F5BE4" w:rsidRDefault="000F5E12" w:rsidP="000F5E12">
      <w:pPr>
        <w:numPr>
          <w:ilvl w:val="0"/>
          <w:numId w:val="8"/>
        </w:numPr>
      </w:pPr>
      <w:r w:rsidRPr="005F5BE4">
        <w:t>Do you agree or disagree with their perspective? Why?</w:t>
      </w:r>
      <w:r>
        <w:t xml:space="preserve"> </w:t>
      </w:r>
    </w:p>
    <w:p w14:paraId="74AF303D" w14:textId="77777777" w:rsidR="000F5E12" w:rsidRDefault="000F5E12" w:rsidP="000F5E12">
      <w:pPr>
        <w:numPr>
          <w:ilvl w:val="0"/>
          <w:numId w:val="8"/>
        </w:numPr>
      </w:pPr>
      <w:r w:rsidRPr="005F5BE4">
        <w:t>Are there issues that the authors do not add</w:t>
      </w:r>
      <w:r>
        <w:t>ress adequately (or at all)</w:t>
      </w:r>
      <w:r w:rsidRPr="005F5BE4">
        <w:t>?</w:t>
      </w:r>
    </w:p>
    <w:p w14:paraId="7FDA8898" w14:textId="77777777" w:rsidR="000F5E12" w:rsidRDefault="000F5E12" w:rsidP="000F5E12">
      <w:pPr>
        <w:numPr>
          <w:ilvl w:val="0"/>
          <w:numId w:val="8"/>
        </w:numPr>
      </w:pPr>
      <w:r>
        <w:t>Have these ideas been contested? If so, by whom and on what grounds?</w:t>
      </w:r>
    </w:p>
    <w:p w14:paraId="7DB739E8" w14:textId="77777777" w:rsidR="000F5E12" w:rsidRDefault="000F5E12" w:rsidP="000F5E12">
      <w:pPr>
        <w:numPr>
          <w:ilvl w:val="0"/>
          <w:numId w:val="8"/>
        </w:numPr>
      </w:pPr>
      <w:r>
        <w:t>Have these ideas been put into practice? And if so, where? Has it been successful and how so? Provide examples that can be discussed in the seminar.</w:t>
      </w:r>
    </w:p>
    <w:p w14:paraId="793581DF" w14:textId="77777777" w:rsidR="000F5E12" w:rsidRDefault="000F5E12" w:rsidP="000F5E12">
      <w:pPr>
        <w:numPr>
          <w:ilvl w:val="0"/>
          <w:numId w:val="8"/>
        </w:numPr>
      </w:pPr>
      <w:r>
        <w:t>What are the implications for local economic development policymakers and practitioners? (also think about different contexts, e.g. rural, urban, northern)</w:t>
      </w:r>
    </w:p>
    <w:p w14:paraId="14C44D50" w14:textId="77777777" w:rsidR="000F5E12" w:rsidRDefault="000F5E12" w:rsidP="000F5E12">
      <w:pPr>
        <w:numPr>
          <w:ilvl w:val="0"/>
          <w:numId w:val="8"/>
        </w:numPr>
      </w:pPr>
      <w:r>
        <w:t>To what extent is their perspective limited to Canada, or to North America, or to industrialized cities and regions?</w:t>
      </w:r>
    </w:p>
    <w:p w14:paraId="49D6AEEF" w14:textId="77777777" w:rsidR="000F5E12" w:rsidRDefault="000F5E12" w:rsidP="000F5E12">
      <w:pPr>
        <w:autoSpaceDE w:val="0"/>
        <w:autoSpaceDN w:val="0"/>
        <w:adjustRightInd w:val="0"/>
        <w:rPr>
          <w:rFonts w:cstheme="minorHAnsi"/>
          <w:color w:val="000000"/>
        </w:rPr>
      </w:pPr>
    </w:p>
    <w:p w14:paraId="4C01DB7E" w14:textId="77777777" w:rsidR="000F5E12" w:rsidRDefault="000F5E12" w:rsidP="000F5E12">
      <w:pPr>
        <w:autoSpaceDE w:val="0"/>
        <w:autoSpaceDN w:val="0"/>
        <w:adjustRightInd w:val="0"/>
        <w:rPr>
          <w:rFonts w:cstheme="minorHAnsi"/>
          <w:color w:val="000000"/>
        </w:rPr>
      </w:pPr>
      <w:r w:rsidRPr="00510619">
        <w:rPr>
          <w:rFonts w:cstheme="minorHAnsi"/>
          <w:color w:val="000000"/>
        </w:rPr>
        <w:t xml:space="preserve">Seminar leaders are </w:t>
      </w:r>
      <w:r>
        <w:rPr>
          <w:rFonts w:cstheme="minorHAnsi"/>
          <w:color w:val="000000"/>
        </w:rPr>
        <w:t xml:space="preserve">also </w:t>
      </w:r>
      <w:r w:rsidRPr="00510619">
        <w:rPr>
          <w:rFonts w:cstheme="minorHAnsi"/>
          <w:color w:val="000000"/>
        </w:rPr>
        <w:t xml:space="preserve">expected to post 3-4 questions to the discussion board </w:t>
      </w:r>
      <w:r w:rsidRPr="00510619">
        <w:rPr>
          <w:rFonts w:cstheme="minorHAnsi"/>
          <w:color w:val="000000"/>
          <w:u w:val="single"/>
        </w:rPr>
        <w:t>24 hours prior</w:t>
      </w:r>
      <w:r w:rsidRPr="00510619">
        <w:rPr>
          <w:rFonts w:cstheme="minorHAnsi"/>
          <w:color w:val="000000"/>
        </w:rPr>
        <w:t xml:space="preserve"> to the scheduled seminar; these questions will provide a springboard for discussion and debate in class.</w:t>
      </w:r>
    </w:p>
    <w:p w14:paraId="7E4E545A" w14:textId="77777777" w:rsidR="000F5E12" w:rsidRDefault="000F5E12" w:rsidP="000F5E12">
      <w:pPr>
        <w:autoSpaceDE w:val="0"/>
        <w:autoSpaceDN w:val="0"/>
        <w:adjustRightInd w:val="0"/>
        <w:rPr>
          <w:rFonts w:cstheme="minorHAnsi"/>
          <w:color w:val="000000"/>
        </w:rPr>
      </w:pPr>
    </w:p>
    <w:p w14:paraId="1E06E9E6" w14:textId="77777777" w:rsidR="000F5E12" w:rsidRDefault="000F5E12" w:rsidP="000F5E12">
      <w:pPr>
        <w:jc w:val="both"/>
      </w:pPr>
      <w:r>
        <w:lastRenderedPageBreak/>
        <w:t>Being a seminar leader requires you to</w:t>
      </w:r>
      <w:r w:rsidRPr="00194FF0">
        <w:t xml:space="preserve"> actively and critically engaged</w:t>
      </w:r>
      <w:r>
        <w:t xml:space="preserve"> with the reading material, form clear opinions about that material, and raise questions related to the readings. In </w:t>
      </w:r>
      <w:proofErr w:type="gramStart"/>
      <w:r>
        <w:t>all of</w:t>
      </w:r>
      <w:proofErr w:type="gramEnd"/>
      <w:r>
        <w:t xml:space="preserve"> these instances, you should be prepared to lead an in-depth discussion of these ideas with your classmates. T</w:t>
      </w:r>
      <w:r w:rsidRPr="00FC3050">
        <w:t xml:space="preserve">hink creatively about how to </w:t>
      </w:r>
      <w:r>
        <w:t>engage your peers in discussion</w:t>
      </w:r>
      <w:r w:rsidRPr="00FC3050">
        <w:t xml:space="preserve">. </w:t>
      </w:r>
    </w:p>
    <w:p w14:paraId="0A47D0EF" w14:textId="77777777" w:rsidR="000F5E12" w:rsidRDefault="000F5E12" w:rsidP="000F5E12">
      <w:pPr>
        <w:pStyle w:val="Default"/>
        <w:rPr>
          <w:rFonts w:asciiTheme="minorHAnsi" w:hAnsiTheme="minorHAnsi" w:cstheme="minorHAnsi"/>
        </w:rPr>
      </w:pPr>
    </w:p>
    <w:p w14:paraId="00271308" w14:textId="77777777" w:rsidR="000F5E12" w:rsidRPr="003450F4" w:rsidRDefault="000F5E12" w:rsidP="000F5E12">
      <w:pPr>
        <w:pStyle w:val="Default"/>
        <w:rPr>
          <w:rFonts w:asciiTheme="minorHAnsi" w:hAnsiTheme="minorHAnsi" w:cstheme="minorHAnsi"/>
          <w:b/>
          <w:bCs/>
          <w:color w:val="auto"/>
        </w:rPr>
      </w:pPr>
      <w:r w:rsidRPr="003450F4">
        <w:rPr>
          <w:rFonts w:asciiTheme="minorHAnsi" w:hAnsiTheme="minorHAnsi" w:cstheme="minorHAnsi"/>
          <w:b/>
          <w:bCs/>
          <w:color w:val="auto"/>
        </w:rPr>
        <w:t>Seminar Response Paper (10% of final grade)</w:t>
      </w:r>
    </w:p>
    <w:p w14:paraId="7611C1D7" w14:textId="77777777" w:rsidR="000F5E12" w:rsidRDefault="000F5E12" w:rsidP="000F5E12">
      <w:pPr>
        <w:pStyle w:val="Default"/>
        <w:rPr>
          <w:rFonts w:asciiTheme="minorHAnsi" w:hAnsiTheme="minorHAnsi" w:cstheme="minorHAnsi"/>
        </w:rPr>
      </w:pPr>
      <w:r>
        <w:rPr>
          <w:rFonts w:asciiTheme="minorHAnsi" w:hAnsiTheme="minorHAnsi" w:cstheme="minorHAnsi"/>
        </w:rPr>
        <w:t xml:space="preserve">All students are expected to prepare a seminar response paper following a class between Weeks 4 and 13 (of the student’s choice, for a seminar other than their own). These papers will be </w:t>
      </w:r>
      <w:r>
        <w:rPr>
          <w:rFonts w:cstheme="minorHAnsi"/>
        </w:rPr>
        <w:t>8-10 pages in length (</w:t>
      </w:r>
      <w:proofErr w:type="gramStart"/>
      <w:r>
        <w:rPr>
          <w:rFonts w:cstheme="minorHAnsi"/>
        </w:rPr>
        <w:t>12 point</w:t>
      </w:r>
      <w:proofErr w:type="gramEnd"/>
      <w:r>
        <w:rPr>
          <w:rFonts w:cstheme="minorHAnsi"/>
        </w:rPr>
        <w:t xml:space="preserve"> font, double-spaced), and must be handed in </w:t>
      </w:r>
      <w:r>
        <w:rPr>
          <w:rFonts w:asciiTheme="minorHAnsi" w:hAnsiTheme="minorHAnsi" w:cstheme="minorHAnsi"/>
        </w:rPr>
        <w:t>within 7 days of the seminar to which it is responding (e.g. midnight one week following the seminar).</w:t>
      </w:r>
    </w:p>
    <w:p w14:paraId="22464E31" w14:textId="77777777" w:rsidR="000F5E12" w:rsidRDefault="000F5E12" w:rsidP="000F5E12">
      <w:pPr>
        <w:pStyle w:val="Default"/>
        <w:rPr>
          <w:rFonts w:asciiTheme="minorHAnsi" w:hAnsiTheme="minorHAnsi" w:cstheme="minorHAnsi"/>
        </w:rPr>
      </w:pPr>
    </w:p>
    <w:p w14:paraId="7E32840A" w14:textId="77777777" w:rsidR="000F5E12" w:rsidRPr="003402F8" w:rsidRDefault="000F5E12" w:rsidP="000F5E12">
      <w:pPr>
        <w:pStyle w:val="Default"/>
        <w:rPr>
          <w:rFonts w:cstheme="minorHAnsi"/>
        </w:rPr>
      </w:pPr>
      <w:r>
        <w:rPr>
          <w:rFonts w:asciiTheme="minorHAnsi" w:hAnsiTheme="minorHAnsi" w:cstheme="minorHAnsi"/>
        </w:rPr>
        <w:t xml:space="preserve">The intent of these response papers is not to provide a critique of </w:t>
      </w:r>
      <w:proofErr w:type="gramStart"/>
      <w:r>
        <w:rPr>
          <w:rFonts w:asciiTheme="minorHAnsi" w:hAnsiTheme="minorHAnsi" w:cstheme="minorHAnsi"/>
        </w:rPr>
        <w:t>classmates</w:t>
      </w:r>
      <w:proofErr w:type="gramEnd"/>
      <w:r>
        <w:rPr>
          <w:rFonts w:asciiTheme="minorHAnsi" w:hAnsiTheme="minorHAnsi" w:cstheme="minorHAnsi"/>
        </w:rPr>
        <w:t xml:space="preserve"> work, but to offer additional insight, analysis and critical assessments of the material covered in that particular seminar. Students are expected to demonstrate a string understanding of that week’s content and key ideas, and how they may be applied to the economic development space. Students are encouraged to complete these assignments earlier in the course, to avoid impacting work on their Term Paper.</w:t>
      </w:r>
    </w:p>
    <w:p w14:paraId="73007674" w14:textId="77777777" w:rsidR="000F5E12" w:rsidRPr="00510619" w:rsidRDefault="000F5E12" w:rsidP="000F5E12">
      <w:pPr>
        <w:pStyle w:val="Default"/>
        <w:rPr>
          <w:rFonts w:asciiTheme="minorHAnsi" w:hAnsiTheme="minorHAnsi" w:cstheme="minorHAnsi"/>
        </w:rPr>
      </w:pPr>
      <w:r w:rsidRPr="00510619">
        <w:rPr>
          <w:rFonts w:asciiTheme="minorHAnsi" w:hAnsiTheme="minorHAnsi" w:cstheme="minorHAnsi"/>
        </w:rPr>
        <w:t xml:space="preserve"> </w:t>
      </w:r>
    </w:p>
    <w:p w14:paraId="73CD4609" w14:textId="77777777" w:rsidR="000F5E12" w:rsidRPr="00510619" w:rsidRDefault="000F5E12" w:rsidP="000F5E12">
      <w:pPr>
        <w:autoSpaceDE w:val="0"/>
        <w:autoSpaceDN w:val="0"/>
        <w:adjustRightInd w:val="0"/>
        <w:rPr>
          <w:rFonts w:cstheme="minorHAnsi"/>
          <w:color w:val="000000"/>
        </w:rPr>
      </w:pPr>
      <w:r w:rsidRPr="00510619">
        <w:rPr>
          <w:rFonts w:cstheme="minorHAnsi"/>
          <w:b/>
          <w:bCs/>
          <w:color w:val="000000"/>
        </w:rPr>
        <w:t xml:space="preserve">Term </w:t>
      </w:r>
      <w:r>
        <w:rPr>
          <w:rFonts w:cstheme="minorHAnsi"/>
          <w:b/>
          <w:bCs/>
          <w:color w:val="000000"/>
        </w:rPr>
        <w:t>P</w:t>
      </w:r>
      <w:r w:rsidRPr="00510619">
        <w:rPr>
          <w:rFonts w:cstheme="minorHAnsi"/>
          <w:b/>
          <w:bCs/>
          <w:color w:val="000000"/>
        </w:rPr>
        <w:t>aper (40%</w:t>
      </w:r>
      <w:r>
        <w:rPr>
          <w:rFonts w:cstheme="minorHAnsi"/>
          <w:b/>
          <w:bCs/>
          <w:color w:val="000000"/>
        </w:rPr>
        <w:t xml:space="preserve"> of final grade</w:t>
      </w:r>
      <w:r w:rsidRPr="00510619">
        <w:rPr>
          <w:rFonts w:cstheme="minorHAnsi"/>
          <w:b/>
          <w:bCs/>
          <w:color w:val="000000"/>
        </w:rPr>
        <w:t xml:space="preserve">) </w:t>
      </w:r>
    </w:p>
    <w:p w14:paraId="2504B7E4" w14:textId="77777777" w:rsidR="000F5E12" w:rsidRDefault="000F5E12" w:rsidP="000F5E12">
      <w:pPr>
        <w:pStyle w:val="ListParagraph"/>
        <w:numPr>
          <w:ilvl w:val="0"/>
          <w:numId w:val="26"/>
        </w:numPr>
        <w:autoSpaceDE w:val="0"/>
        <w:autoSpaceDN w:val="0"/>
        <w:adjustRightInd w:val="0"/>
        <w:spacing w:after="180"/>
        <w:rPr>
          <w:rFonts w:cstheme="minorHAnsi"/>
          <w:color w:val="000000"/>
        </w:rPr>
      </w:pPr>
      <w:r>
        <w:rPr>
          <w:rFonts w:cstheme="minorHAnsi"/>
          <w:b/>
          <w:bCs/>
          <w:color w:val="000000"/>
        </w:rPr>
        <w:t>Term</w:t>
      </w:r>
      <w:r w:rsidRPr="00E53884">
        <w:rPr>
          <w:rFonts w:cstheme="minorHAnsi"/>
          <w:b/>
          <w:bCs/>
          <w:color w:val="000000"/>
        </w:rPr>
        <w:t xml:space="preserve"> Paper Proposal (5%) </w:t>
      </w:r>
      <w:r w:rsidRPr="00E53884">
        <w:rPr>
          <w:rFonts w:cstheme="minorHAnsi"/>
          <w:color w:val="000000"/>
        </w:rPr>
        <w:t xml:space="preserve">– Approval of term paper topics must be accomplished by submitting a two-page proposal </w:t>
      </w:r>
      <w:r>
        <w:rPr>
          <w:rFonts w:cstheme="minorHAnsi"/>
          <w:color w:val="000000"/>
        </w:rPr>
        <w:t>(</w:t>
      </w:r>
      <w:proofErr w:type="gramStart"/>
      <w:r>
        <w:rPr>
          <w:rFonts w:cstheme="minorHAnsi"/>
          <w:color w:val="000000"/>
        </w:rPr>
        <w:t>12 point</w:t>
      </w:r>
      <w:proofErr w:type="gramEnd"/>
      <w:r>
        <w:rPr>
          <w:rFonts w:cstheme="minorHAnsi"/>
          <w:color w:val="000000"/>
        </w:rPr>
        <w:t xml:space="preserve"> font, double-spaced) </w:t>
      </w:r>
      <w:r w:rsidRPr="00E53884">
        <w:rPr>
          <w:rFonts w:cstheme="minorHAnsi"/>
          <w:color w:val="000000"/>
        </w:rPr>
        <w:t>that should include</w:t>
      </w:r>
      <w:r>
        <w:rPr>
          <w:rFonts w:cstheme="minorHAnsi"/>
          <w:color w:val="000000"/>
        </w:rPr>
        <w:t>:</w:t>
      </w:r>
    </w:p>
    <w:p w14:paraId="410F599B" w14:textId="77777777" w:rsidR="000F5E12" w:rsidRDefault="000F5E12" w:rsidP="000F5E12">
      <w:pPr>
        <w:pStyle w:val="ListParagraph"/>
        <w:numPr>
          <w:ilvl w:val="1"/>
          <w:numId w:val="26"/>
        </w:numPr>
        <w:autoSpaceDE w:val="0"/>
        <w:autoSpaceDN w:val="0"/>
        <w:adjustRightInd w:val="0"/>
        <w:spacing w:after="180"/>
        <w:rPr>
          <w:rFonts w:cstheme="minorHAnsi"/>
          <w:color w:val="000000"/>
        </w:rPr>
      </w:pPr>
      <w:r w:rsidRPr="00E53884">
        <w:rPr>
          <w:rFonts w:cstheme="minorHAnsi"/>
          <w:color w:val="000000"/>
        </w:rPr>
        <w:t>a statement of the research problem</w:t>
      </w:r>
    </w:p>
    <w:p w14:paraId="04ED567F" w14:textId="77777777" w:rsidR="000F5E12" w:rsidRDefault="000F5E12" w:rsidP="000F5E12">
      <w:pPr>
        <w:pStyle w:val="ListParagraph"/>
        <w:numPr>
          <w:ilvl w:val="1"/>
          <w:numId w:val="26"/>
        </w:numPr>
        <w:autoSpaceDE w:val="0"/>
        <w:autoSpaceDN w:val="0"/>
        <w:adjustRightInd w:val="0"/>
        <w:spacing w:after="180"/>
        <w:rPr>
          <w:rFonts w:cstheme="minorHAnsi"/>
          <w:color w:val="000000"/>
        </w:rPr>
      </w:pPr>
      <w:r w:rsidRPr="00E53884">
        <w:rPr>
          <w:rFonts w:cstheme="minorHAnsi"/>
          <w:color w:val="000000"/>
        </w:rPr>
        <w:t xml:space="preserve">the chief question(s) </w:t>
      </w:r>
      <w:r>
        <w:rPr>
          <w:rFonts w:cstheme="minorHAnsi"/>
          <w:color w:val="000000"/>
        </w:rPr>
        <w:t xml:space="preserve">or issue(s) </w:t>
      </w:r>
      <w:r w:rsidRPr="00E53884">
        <w:rPr>
          <w:rFonts w:cstheme="minorHAnsi"/>
          <w:color w:val="000000"/>
        </w:rPr>
        <w:t>to be addressed</w:t>
      </w:r>
    </w:p>
    <w:p w14:paraId="201BE8AE" w14:textId="77777777" w:rsidR="000F5E12" w:rsidRDefault="000F5E12" w:rsidP="000F5E12">
      <w:pPr>
        <w:pStyle w:val="ListParagraph"/>
        <w:numPr>
          <w:ilvl w:val="1"/>
          <w:numId w:val="26"/>
        </w:numPr>
        <w:autoSpaceDE w:val="0"/>
        <w:autoSpaceDN w:val="0"/>
        <w:adjustRightInd w:val="0"/>
        <w:spacing w:after="180"/>
        <w:rPr>
          <w:rFonts w:cstheme="minorHAnsi"/>
          <w:color w:val="000000"/>
        </w:rPr>
      </w:pPr>
      <w:r>
        <w:rPr>
          <w:rFonts w:cstheme="minorHAnsi"/>
          <w:color w:val="000000"/>
        </w:rPr>
        <w:t>an indication of why this is a topic of interest or importance</w:t>
      </w:r>
    </w:p>
    <w:p w14:paraId="69BA2AEF" w14:textId="77777777" w:rsidR="000F5E12" w:rsidRDefault="000F5E12" w:rsidP="000F5E12">
      <w:pPr>
        <w:pStyle w:val="ListParagraph"/>
        <w:numPr>
          <w:ilvl w:val="1"/>
          <w:numId w:val="26"/>
        </w:numPr>
        <w:autoSpaceDE w:val="0"/>
        <w:autoSpaceDN w:val="0"/>
        <w:adjustRightInd w:val="0"/>
        <w:spacing w:after="180"/>
        <w:rPr>
          <w:rFonts w:cstheme="minorHAnsi"/>
          <w:color w:val="000000"/>
        </w:rPr>
      </w:pPr>
      <w:r>
        <w:rPr>
          <w:rFonts w:cstheme="minorHAnsi"/>
          <w:color w:val="000000"/>
        </w:rPr>
        <w:t xml:space="preserve">the research </w:t>
      </w:r>
      <w:r w:rsidRPr="00E53884">
        <w:rPr>
          <w:rFonts w:cstheme="minorHAnsi"/>
          <w:color w:val="000000"/>
        </w:rPr>
        <w:t>method</w:t>
      </w:r>
      <w:r>
        <w:rPr>
          <w:rFonts w:cstheme="minorHAnsi"/>
          <w:color w:val="000000"/>
        </w:rPr>
        <w:t>s</w:t>
      </w:r>
      <w:r w:rsidRPr="00E53884">
        <w:rPr>
          <w:rFonts w:cstheme="minorHAnsi"/>
          <w:color w:val="000000"/>
        </w:rPr>
        <w:t xml:space="preserve"> to be employed</w:t>
      </w:r>
    </w:p>
    <w:p w14:paraId="260DF6DB" w14:textId="77777777" w:rsidR="000F5E12" w:rsidRDefault="000F5E12" w:rsidP="000F5E12">
      <w:pPr>
        <w:pStyle w:val="ListParagraph"/>
        <w:numPr>
          <w:ilvl w:val="1"/>
          <w:numId w:val="26"/>
        </w:numPr>
        <w:autoSpaceDE w:val="0"/>
        <w:autoSpaceDN w:val="0"/>
        <w:adjustRightInd w:val="0"/>
        <w:spacing w:after="180"/>
        <w:rPr>
          <w:rFonts w:cstheme="minorHAnsi"/>
          <w:color w:val="000000"/>
        </w:rPr>
      </w:pPr>
      <w:r>
        <w:rPr>
          <w:rFonts w:cstheme="minorHAnsi"/>
          <w:color w:val="000000"/>
        </w:rPr>
        <w:t xml:space="preserve">a </w:t>
      </w:r>
      <w:r w:rsidRPr="00E53884">
        <w:rPr>
          <w:rFonts w:cstheme="minorHAnsi"/>
          <w:color w:val="000000"/>
        </w:rPr>
        <w:t xml:space="preserve">preliminary list of references (minimum 10 academic </w:t>
      </w:r>
      <w:r>
        <w:rPr>
          <w:rFonts w:cstheme="minorHAnsi"/>
          <w:color w:val="000000"/>
        </w:rPr>
        <w:t xml:space="preserve">or professional </w:t>
      </w:r>
      <w:r w:rsidRPr="00E53884">
        <w:rPr>
          <w:rFonts w:cstheme="minorHAnsi"/>
          <w:color w:val="000000"/>
        </w:rPr>
        <w:t>sources</w:t>
      </w:r>
      <w:r>
        <w:rPr>
          <w:rFonts w:cstheme="minorHAnsi"/>
          <w:color w:val="000000"/>
        </w:rPr>
        <w:t>)</w:t>
      </w:r>
    </w:p>
    <w:p w14:paraId="00C3F5D8" w14:textId="77777777" w:rsidR="000F5E12" w:rsidRPr="004969B3" w:rsidRDefault="000F5E12" w:rsidP="000F5E12">
      <w:pPr>
        <w:autoSpaceDE w:val="0"/>
        <w:autoSpaceDN w:val="0"/>
        <w:adjustRightInd w:val="0"/>
        <w:spacing w:after="180"/>
        <w:ind w:left="720"/>
        <w:rPr>
          <w:rFonts w:cstheme="minorHAnsi"/>
          <w:color w:val="000000"/>
        </w:rPr>
      </w:pPr>
      <w:r w:rsidRPr="004969B3">
        <w:rPr>
          <w:rFonts w:cstheme="minorHAnsi"/>
          <w:color w:val="000000"/>
        </w:rPr>
        <w:t>Further details and instruction will be provided in class and guidelines will be posted to LEARN.</w:t>
      </w:r>
    </w:p>
    <w:p w14:paraId="78BB217A" w14:textId="77777777" w:rsidR="000F5E12" w:rsidRDefault="000F5E12" w:rsidP="000F5E12">
      <w:pPr>
        <w:pStyle w:val="ListParagraph"/>
        <w:numPr>
          <w:ilvl w:val="0"/>
          <w:numId w:val="26"/>
        </w:numPr>
        <w:autoSpaceDE w:val="0"/>
        <w:autoSpaceDN w:val="0"/>
        <w:adjustRightInd w:val="0"/>
        <w:spacing w:after="180"/>
        <w:rPr>
          <w:rFonts w:cstheme="minorHAnsi"/>
          <w:color w:val="000000"/>
        </w:rPr>
      </w:pPr>
      <w:r>
        <w:rPr>
          <w:rFonts w:cstheme="minorHAnsi"/>
          <w:b/>
          <w:bCs/>
          <w:color w:val="000000"/>
        </w:rPr>
        <w:t>Term</w:t>
      </w:r>
      <w:r w:rsidRPr="00E53884">
        <w:rPr>
          <w:rFonts w:cstheme="minorHAnsi"/>
          <w:b/>
          <w:bCs/>
          <w:color w:val="000000"/>
        </w:rPr>
        <w:t xml:space="preserve"> Paper (35%) </w:t>
      </w:r>
      <w:r w:rsidRPr="00E53884">
        <w:rPr>
          <w:rFonts w:cstheme="minorHAnsi"/>
          <w:color w:val="000000"/>
        </w:rPr>
        <w:t xml:space="preserve">– Students must complete a research paper on a </w:t>
      </w:r>
      <w:r>
        <w:rPr>
          <w:rFonts w:cstheme="minorHAnsi"/>
          <w:color w:val="000000"/>
        </w:rPr>
        <w:t xml:space="preserve">pre-approved </w:t>
      </w:r>
      <w:r w:rsidRPr="00E53884">
        <w:rPr>
          <w:rFonts w:cstheme="minorHAnsi"/>
          <w:color w:val="000000"/>
        </w:rPr>
        <w:t>topic of their own choosing related to the course</w:t>
      </w:r>
      <w:r>
        <w:rPr>
          <w:rFonts w:cstheme="minorHAnsi"/>
          <w:color w:val="000000"/>
        </w:rPr>
        <w:t>, and the broader theme of Innovation and Economic Development in Cities and Regions</w:t>
      </w:r>
      <w:r w:rsidRPr="00E53884">
        <w:rPr>
          <w:rFonts w:cstheme="minorHAnsi"/>
          <w:color w:val="000000"/>
        </w:rPr>
        <w:t>. Generally, papers will include empirical work in which data will be applied to a critical appraisal of theory or policy.</w:t>
      </w:r>
      <w:r>
        <w:rPr>
          <w:rFonts w:cstheme="minorHAnsi"/>
          <w:color w:val="000000"/>
        </w:rPr>
        <w:t xml:space="preserve"> This effort should be placed in the context of a critical literature review, which should draw on resources well beyond those of the course texts.</w:t>
      </w:r>
    </w:p>
    <w:p w14:paraId="3E004680" w14:textId="77777777" w:rsidR="000F5E12" w:rsidRDefault="000F5E12" w:rsidP="000F5E12">
      <w:pPr>
        <w:pStyle w:val="ListParagraph"/>
        <w:autoSpaceDE w:val="0"/>
        <w:autoSpaceDN w:val="0"/>
        <w:adjustRightInd w:val="0"/>
        <w:spacing w:after="180"/>
        <w:rPr>
          <w:rFonts w:cstheme="minorHAnsi"/>
          <w:color w:val="000000"/>
        </w:rPr>
      </w:pPr>
    </w:p>
    <w:p w14:paraId="2B9D6136" w14:textId="77777777" w:rsidR="000F5E12" w:rsidRDefault="000F5E12" w:rsidP="000F5E12">
      <w:pPr>
        <w:pStyle w:val="ListParagraph"/>
        <w:autoSpaceDE w:val="0"/>
        <w:autoSpaceDN w:val="0"/>
        <w:adjustRightInd w:val="0"/>
        <w:spacing w:after="180"/>
        <w:rPr>
          <w:rFonts w:cstheme="minorHAnsi"/>
          <w:color w:val="000000"/>
        </w:rPr>
      </w:pPr>
      <w:r>
        <w:rPr>
          <w:rFonts w:cstheme="minorHAnsi"/>
          <w:color w:val="000000"/>
        </w:rPr>
        <w:t xml:space="preserve">In general terms, students should consider some aspect, facet or feature of innovation in the context of impacts on cities and regions, their economies, and their prospects for and/or pursuit of economic development. The paper must be grounded in theory and academic </w:t>
      </w:r>
      <w:proofErr w:type="gramStart"/>
      <w:r>
        <w:rPr>
          <w:rFonts w:cstheme="minorHAnsi"/>
          <w:color w:val="000000"/>
        </w:rPr>
        <w:t>research, but</w:t>
      </w:r>
      <w:proofErr w:type="gramEnd"/>
      <w:r>
        <w:rPr>
          <w:rFonts w:cstheme="minorHAnsi"/>
          <w:color w:val="000000"/>
        </w:rPr>
        <w:t xml:space="preserve"> seek to make connections to policy and practice.</w:t>
      </w:r>
    </w:p>
    <w:p w14:paraId="4FA71DBF" w14:textId="77777777" w:rsidR="000F5E12" w:rsidRDefault="000F5E12" w:rsidP="000F5E12">
      <w:pPr>
        <w:pStyle w:val="ListParagraph"/>
        <w:autoSpaceDE w:val="0"/>
        <w:autoSpaceDN w:val="0"/>
        <w:adjustRightInd w:val="0"/>
        <w:spacing w:after="180"/>
        <w:rPr>
          <w:rFonts w:cstheme="minorHAnsi"/>
          <w:color w:val="000000"/>
        </w:rPr>
      </w:pPr>
    </w:p>
    <w:p w14:paraId="592D0D04" w14:textId="77777777" w:rsidR="000F5E12" w:rsidRDefault="000F5E12" w:rsidP="000F5E12">
      <w:pPr>
        <w:pStyle w:val="ListParagraph"/>
        <w:autoSpaceDE w:val="0"/>
        <w:autoSpaceDN w:val="0"/>
        <w:adjustRightInd w:val="0"/>
        <w:spacing w:after="180"/>
        <w:rPr>
          <w:rFonts w:cstheme="minorHAnsi"/>
          <w:color w:val="000000"/>
        </w:rPr>
      </w:pPr>
    </w:p>
    <w:p w14:paraId="30592A1F" w14:textId="77777777" w:rsidR="000F5E12" w:rsidRDefault="000F5E12" w:rsidP="000F5E12">
      <w:pPr>
        <w:pStyle w:val="ListParagraph"/>
        <w:autoSpaceDE w:val="0"/>
        <w:autoSpaceDN w:val="0"/>
        <w:adjustRightInd w:val="0"/>
        <w:spacing w:after="180"/>
        <w:rPr>
          <w:rFonts w:cstheme="minorHAnsi"/>
          <w:color w:val="000000"/>
        </w:rPr>
      </w:pPr>
    </w:p>
    <w:p w14:paraId="67B1AEAB" w14:textId="77777777" w:rsidR="000F5E12" w:rsidRDefault="000F5E12" w:rsidP="000F5E12">
      <w:pPr>
        <w:pStyle w:val="ListParagraph"/>
        <w:autoSpaceDE w:val="0"/>
        <w:autoSpaceDN w:val="0"/>
        <w:adjustRightInd w:val="0"/>
        <w:spacing w:after="180"/>
        <w:rPr>
          <w:rFonts w:cstheme="minorHAnsi"/>
          <w:color w:val="000000"/>
        </w:rPr>
      </w:pPr>
      <w:r>
        <w:rPr>
          <w:rFonts w:cstheme="minorHAnsi"/>
          <w:color w:val="000000"/>
        </w:rPr>
        <w:lastRenderedPageBreak/>
        <w:t>Research Papers are expected to between 25 and 30 pages (</w:t>
      </w:r>
      <w:proofErr w:type="gramStart"/>
      <w:r>
        <w:rPr>
          <w:rFonts w:cstheme="minorHAnsi"/>
          <w:color w:val="000000"/>
        </w:rPr>
        <w:t>12 point</w:t>
      </w:r>
      <w:proofErr w:type="gramEnd"/>
      <w:r>
        <w:rPr>
          <w:rFonts w:cstheme="minorHAnsi"/>
          <w:color w:val="000000"/>
        </w:rPr>
        <w:t xml:space="preserve"> font, double-spaced), and are expected to substantive, well-structured and carefully-argued.</w:t>
      </w:r>
    </w:p>
    <w:p w14:paraId="2686B3EF" w14:textId="77777777" w:rsidR="000F5E12" w:rsidRDefault="000F5E12" w:rsidP="000F5E12">
      <w:pPr>
        <w:pStyle w:val="ListParagraph"/>
        <w:autoSpaceDE w:val="0"/>
        <w:autoSpaceDN w:val="0"/>
        <w:adjustRightInd w:val="0"/>
        <w:spacing w:after="180"/>
        <w:rPr>
          <w:rFonts w:cstheme="minorHAnsi"/>
          <w:color w:val="000000"/>
        </w:rPr>
      </w:pPr>
    </w:p>
    <w:p w14:paraId="18B19B30" w14:textId="77777777" w:rsidR="000F5E12" w:rsidRDefault="000F5E12" w:rsidP="000F5E12">
      <w:pPr>
        <w:pStyle w:val="ListParagraph"/>
        <w:autoSpaceDE w:val="0"/>
        <w:autoSpaceDN w:val="0"/>
        <w:adjustRightInd w:val="0"/>
        <w:spacing w:after="180"/>
        <w:rPr>
          <w:rFonts w:cstheme="minorHAnsi"/>
          <w:color w:val="000000"/>
        </w:rPr>
      </w:pPr>
      <w:r>
        <w:rPr>
          <w:rFonts w:cstheme="minorHAnsi"/>
          <w:color w:val="000000"/>
        </w:rPr>
        <w:t>There will be additional discussion of this research paper in class, so please prepare any questions in advance.</w:t>
      </w:r>
    </w:p>
    <w:p w14:paraId="709B3F3A" w14:textId="77777777" w:rsidR="000F5E12" w:rsidRPr="00695B4E" w:rsidRDefault="000F5E12" w:rsidP="000F5E12">
      <w:pPr>
        <w:autoSpaceDE w:val="0"/>
        <w:autoSpaceDN w:val="0"/>
        <w:adjustRightInd w:val="0"/>
        <w:spacing w:after="180"/>
        <w:rPr>
          <w:rFonts w:cstheme="minorHAnsi"/>
          <w:color w:val="000000"/>
        </w:rPr>
      </w:pPr>
      <w:r w:rsidRPr="00E53884">
        <w:rPr>
          <w:rFonts w:cstheme="minorHAnsi"/>
          <w:b/>
          <w:bCs/>
          <w:i/>
          <w:iCs/>
          <w:color w:val="000000"/>
        </w:rPr>
        <w:t xml:space="preserve">If you do not submit a term paper proposal and/or you do not receive approval of your topic, this </w:t>
      </w:r>
      <w:r>
        <w:rPr>
          <w:rFonts w:cstheme="minorHAnsi"/>
          <w:b/>
          <w:bCs/>
          <w:i/>
          <w:iCs/>
          <w:color w:val="000000"/>
        </w:rPr>
        <w:t>may</w:t>
      </w:r>
      <w:r w:rsidRPr="00E53884">
        <w:rPr>
          <w:rFonts w:cstheme="minorHAnsi"/>
          <w:b/>
          <w:bCs/>
          <w:i/>
          <w:iCs/>
          <w:color w:val="000000"/>
        </w:rPr>
        <w:t xml:space="preserve"> result in a zero on the term paper component of the course (40% of final grade)</w:t>
      </w:r>
      <w:r w:rsidRPr="00E53884">
        <w:rPr>
          <w:rFonts w:cstheme="minorHAnsi"/>
          <w:color w:val="000000"/>
        </w:rPr>
        <w:t xml:space="preserve">. </w:t>
      </w:r>
    </w:p>
    <w:p w14:paraId="0ED57628" w14:textId="77777777" w:rsidR="000F5E12" w:rsidRPr="00716067" w:rsidRDefault="000F5E12" w:rsidP="000F5E12"/>
    <w:p w14:paraId="2E22872B" w14:textId="77777777" w:rsidR="000F5E12" w:rsidRDefault="000F5E12" w:rsidP="000F5E12"/>
    <w:p w14:paraId="17B3AA90" w14:textId="77777777" w:rsidR="00FB0229" w:rsidRDefault="00FB0229"/>
    <w:sectPr w:rsidR="00FB0229" w:rsidSect="009550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470AF" w14:textId="77777777" w:rsidR="006906F2" w:rsidRDefault="000F5E12" w:rsidP="008A4EA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63BB05" w14:textId="77777777" w:rsidR="006906F2" w:rsidRDefault="000F5E12" w:rsidP="005526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5E97F" w14:textId="77777777" w:rsidR="006906F2" w:rsidRDefault="000F5E12" w:rsidP="008A4EA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CB85B4" w14:textId="77777777" w:rsidR="006906F2" w:rsidRDefault="000F5E12" w:rsidP="0055261D">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03650" w14:textId="21807277" w:rsidR="006906F2" w:rsidRDefault="000F5E12">
    <w:pPr>
      <w:pStyle w:val="Header"/>
    </w:pPr>
    <w:r>
      <w:rPr>
        <w:noProof/>
      </w:rPr>
      <mc:AlternateContent>
        <mc:Choice Requires="wps">
          <w:drawing>
            <wp:anchor distT="0" distB="0" distL="114300" distR="114300" simplePos="0" relativeHeight="251663360" behindDoc="1" locked="0" layoutInCell="0" allowOverlap="1" wp14:anchorId="7DA83DA8" wp14:editId="3E2EB91D">
              <wp:simplePos x="0" y="0"/>
              <wp:positionH relativeFrom="margin">
                <wp:align>center</wp:align>
              </wp:positionH>
              <wp:positionV relativeFrom="margin">
                <wp:align>center</wp:align>
              </wp:positionV>
              <wp:extent cx="6285230" cy="2094865"/>
              <wp:effectExtent l="0" t="1743075" r="0" b="13627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EE09099" w14:textId="77777777" w:rsidR="000F5E12" w:rsidRDefault="000F5E12" w:rsidP="000F5E12">
                          <w:pPr>
                            <w:jc w:val="center"/>
                          </w:pPr>
                          <w:r>
                            <w:rPr>
                              <w:rFonts w:ascii="Calibri" w:hAnsi="Calibri" w:cs="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DA83DA8" id="_x0000_t202" coordsize="21600,21600" o:spt="202" path="m,l,21600r21600,l21600,xe">
              <v:stroke joinstyle="miter"/>
              <v:path gradientshapeok="t" o:connecttype="rect"/>
            </v:shapetype>
            <v:shape id="Text Box 3" o:spid="_x0000_s1026" type="#_x0000_t202" style="position:absolute;margin-left:0;margin-top:0;width:494.9pt;height:164.9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" o:allowincell="f" filled="f" stroked="f">
              <v:stroke joinstyle="round"/>
              <o:lock v:ext="edit" shapetype="t"/>
              <v:textbox style="mso-fit-shape-to-text:t">
                <w:txbxContent>
                  <w:p w14:paraId="1EE09099" w14:textId="77777777" w:rsidR="000F5E12" w:rsidRDefault="000F5E12" w:rsidP="000F5E12">
                    <w:pPr>
                      <w:jc w:val="center"/>
                    </w:pPr>
                    <w:r>
                      <w:rPr>
                        <w:rFonts w:ascii="Calibri" w:hAnsi="Calibri" w:cs="Calibri"/>
                        <w:color w:val="C0C0C0"/>
                        <w:sz w:val="2"/>
                        <w:szCs w:val="2"/>
                      </w:rPr>
                      <w:t>DRAFT</w:t>
                    </w:r>
                  </w:p>
                </w:txbxContent>
              </v:textbox>
              <w10:wrap anchorx="margin" anchory="margin"/>
            </v:shape>
          </w:pict>
        </mc:Fallback>
      </mc:AlternateContent>
    </w:r>
    <w:r>
      <w:rPr>
        <w:noProof/>
      </w:rPr>
      <w:pict w14:anchorId="3A5249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alt="" style="position:absolute;margin-left:0;margin-top:0;width:494.9pt;height:164.95pt;rotation:315;z-index:-25165619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r>
      <w:rPr>
        <w:noProof/>
      </w:rPr>
      <w:pict w14:anchorId="01D4A3CB">
        <v:shape id="PowerPlusWaterMarkObject1" o:spid="_x0000_s1025" type="#_x0000_t136" alt="" style="position:absolute;margin-left:0;margin-top:0;width:494.9pt;height:164.95pt;rotation:315;z-index:-25165824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443B3" w14:textId="1567495B" w:rsidR="006906F2" w:rsidRDefault="000F5E12">
    <w:pPr>
      <w:pStyle w:val="Header"/>
    </w:pPr>
    <w:r>
      <w:rPr>
        <w:noProof/>
      </w:rPr>
      <mc:AlternateContent>
        <mc:Choice Requires="wps">
          <w:drawing>
            <wp:anchor distT="0" distB="0" distL="114300" distR="114300" simplePos="0" relativeHeight="251662336" behindDoc="1" locked="0" layoutInCell="0" allowOverlap="1" wp14:anchorId="559C48A9" wp14:editId="3933DB0D">
              <wp:simplePos x="0" y="0"/>
              <wp:positionH relativeFrom="margin">
                <wp:align>center</wp:align>
              </wp:positionH>
              <wp:positionV relativeFrom="margin">
                <wp:align>center</wp:align>
              </wp:positionV>
              <wp:extent cx="6285230" cy="2094865"/>
              <wp:effectExtent l="0" t="1743075" r="0" b="13627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822F707" w14:textId="77777777" w:rsidR="000F5E12" w:rsidRDefault="000F5E12" w:rsidP="000F5E12">
                          <w:pPr>
                            <w:jc w:val="center"/>
                          </w:pPr>
                          <w:r>
                            <w:rPr>
                              <w:rFonts w:ascii="Calibri" w:hAnsi="Calibri" w:cs="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59C48A9" id="_x0000_t202" coordsize="21600,21600" o:spt="202" path="m,l,21600r21600,l21600,xe">
              <v:stroke joinstyle="miter"/>
              <v:path gradientshapeok="t" o:connecttype="rect"/>
            </v:shapetype>
            <v:shape id="Text Box 2" o:spid="_x0000_s1027" type="#_x0000_t202" style="position:absolute;margin-left:0;margin-top:0;width:494.9pt;height:164.9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" o:allowincell="f" filled="f" stroked="f">
              <v:stroke joinstyle="round"/>
              <o:lock v:ext="edit" shapetype="t"/>
              <v:textbox style="mso-fit-shape-to-text:t">
                <w:txbxContent>
                  <w:p w14:paraId="6822F707" w14:textId="77777777" w:rsidR="000F5E12" w:rsidRDefault="000F5E12" w:rsidP="000F5E12">
                    <w:pPr>
                      <w:jc w:val="center"/>
                    </w:pPr>
                    <w:r>
                      <w:rPr>
                        <w:rFonts w:ascii="Calibri" w:hAnsi="Calibri" w:cs="Calibri"/>
                        <w:color w:val="C0C0C0"/>
                        <w:sz w:val="2"/>
                        <w:szCs w:val="2"/>
                      </w:rPr>
                      <w:t>DRAFT</w:t>
                    </w:r>
                  </w:p>
                </w:txbxContent>
              </v:textbox>
              <w10:wrap anchorx="margin" anchory="margin"/>
            </v:shape>
          </w:pict>
        </mc:Fallback>
      </mc:AlternateContent>
    </w:r>
    <w:r>
      <w:t>ECDEV 60</w:t>
    </w:r>
    <w:r>
      <w:t>6</w:t>
    </w:r>
    <w:r>
      <w:t xml:space="preserve"> – Innovation</w:t>
    </w:r>
    <w:r>
      <w:t xml:space="preserve"> and Economic </w:t>
    </w:r>
    <w:r>
      <w:t>Development</w:t>
    </w:r>
    <w:r>
      <w:t xml:space="preserve"> in Cities and Regions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11105" w14:textId="7D3DD6AA" w:rsidR="006906F2" w:rsidRDefault="000F5E12">
    <w:pPr>
      <w:pStyle w:val="Header"/>
    </w:pPr>
    <w:r>
      <w:rPr>
        <w:noProof/>
      </w:rPr>
      <mc:AlternateContent>
        <mc:Choice Requires="wps">
          <w:drawing>
            <wp:anchor distT="0" distB="0" distL="114300" distR="114300" simplePos="0" relativeHeight="251664384" behindDoc="1" locked="0" layoutInCell="0" allowOverlap="1" wp14:anchorId="679C51C9" wp14:editId="4631BD74">
              <wp:simplePos x="0" y="0"/>
              <wp:positionH relativeFrom="margin">
                <wp:align>center</wp:align>
              </wp:positionH>
              <wp:positionV relativeFrom="margin">
                <wp:align>center</wp:align>
              </wp:positionV>
              <wp:extent cx="6285230" cy="2094865"/>
              <wp:effectExtent l="0" t="1743075" r="0" b="13627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5230"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3BF191B" w14:textId="77777777" w:rsidR="000F5E12" w:rsidRDefault="000F5E12" w:rsidP="000F5E12">
                          <w:pPr>
                            <w:jc w:val="center"/>
                          </w:pPr>
                          <w:r>
                            <w:rPr>
                              <w:rFonts w:ascii="Calibri" w:hAnsi="Calibri" w:cs="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79C51C9" id="_x0000_t202" coordsize="21600,21600" o:spt="202" path="m,l,21600r21600,l21600,xe">
              <v:stroke joinstyle="miter"/>
              <v:path gradientshapeok="t" o:connecttype="rect"/>
            </v:shapetype>
            <v:shape id="Text Box 1" o:spid="_x0000_s1028" type="#_x0000_t202" style="position:absolute;margin-left:0;margin-top:0;width:494.9pt;height:164.95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" o:allowincell="f" filled="f" stroked="f">
              <v:stroke joinstyle="round"/>
              <o:lock v:ext="edit" shapetype="t"/>
              <v:textbox style="mso-fit-shape-to-text:t">
                <w:txbxContent>
                  <w:p w14:paraId="53BF191B" w14:textId="77777777" w:rsidR="000F5E12" w:rsidRDefault="000F5E12" w:rsidP="000F5E12">
                    <w:pPr>
                      <w:jc w:val="center"/>
                    </w:pPr>
                    <w:r>
                      <w:rPr>
                        <w:rFonts w:ascii="Calibri" w:hAnsi="Calibri" w:cs="Calibri"/>
                        <w:color w:val="C0C0C0"/>
                        <w:sz w:val="2"/>
                        <w:szCs w:val="2"/>
                      </w:rPr>
                      <w:t>DRAFT</w:t>
                    </w:r>
                  </w:p>
                </w:txbxContent>
              </v:textbox>
              <w10:wrap anchorx="margin" anchory="margin"/>
            </v:shape>
          </w:pict>
        </mc:Fallback>
      </mc:AlternateContent>
    </w:r>
    <w:r>
      <w:rPr>
        <w:noProof/>
      </w:rPr>
      <w:pict w14:anchorId="72FA8D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alt="" style="position:absolute;margin-left:0;margin-top:0;width:494.9pt;height:164.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AB9"/>
    <w:multiLevelType w:val="hybridMultilevel"/>
    <w:tmpl w:val="0E2E784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1131BF"/>
    <w:multiLevelType w:val="hybridMultilevel"/>
    <w:tmpl w:val="71006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8496B"/>
    <w:multiLevelType w:val="hybridMultilevel"/>
    <w:tmpl w:val="AB28AE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10E75E2"/>
    <w:multiLevelType w:val="hybridMultilevel"/>
    <w:tmpl w:val="77A8C6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21A1B14"/>
    <w:multiLevelType w:val="hybridMultilevel"/>
    <w:tmpl w:val="6764F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609CB"/>
    <w:multiLevelType w:val="hybridMultilevel"/>
    <w:tmpl w:val="10F4CE26"/>
    <w:lvl w:ilvl="0" w:tplc="20549AA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C5146B"/>
    <w:multiLevelType w:val="hybridMultilevel"/>
    <w:tmpl w:val="2102A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7640DB"/>
    <w:multiLevelType w:val="hybridMultilevel"/>
    <w:tmpl w:val="CA023F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3CE22AD"/>
    <w:multiLevelType w:val="hybridMultilevel"/>
    <w:tmpl w:val="FA0EA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EA571E"/>
    <w:multiLevelType w:val="hybridMultilevel"/>
    <w:tmpl w:val="B1802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1C4369"/>
    <w:multiLevelType w:val="hybridMultilevel"/>
    <w:tmpl w:val="C116E1B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A3460BC"/>
    <w:multiLevelType w:val="hybridMultilevel"/>
    <w:tmpl w:val="AF6A0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FB56D6"/>
    <w:multiLevelType w:val="hybridMultilevel"/>
    <w:tmpl w:val="2DA6B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2D265F"/>
    <w:multiLevelType w:val="hybridMultilevel"/>
    <w:tmpl w:val="F39EAA00"/>
    <w:lvl w:ilvl="0" w:tplc="EFB0D67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6E5BD5"/>
    <w:multiLevelType w:val="hybridMultilevel"/>
    <w:tmpl w:val="86445C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73B345A"/>
    <w:multiLevelType w:val="hybridMultilevel"/>
    <w:tmpl w:val="8CC87E2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A151CB0"/>
    <w:multiLevelType w:val="hybridMultilevel"/>
    <w:tmpl w:val="787EF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AB58EB"/>
    <w:multiLevelType w:val="hybridMultilevel"/>
    <w:tmpl w:val="6338BDE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26A47B1"/>
    <w:multiLevelType w:val="hybridMultilevel"/>
    <w:tmpl w:val="B48A9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051322"/>
    <w:multiLevelType w:val="hybridMultilevel"/>
    <w:tmpl w:val="FE1AD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08646A"/>
    <w:multiLevelType w:val="hybridMultilevel"/>
    <w:tmpl w:val="E3C8E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0B1CEF"/>
    <w:multiLevelType w:val="hybridMultilevel"/>
    <w:tmpl w:val="7032C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8A5F52"/>
    <w:multiLevelType w:val="hybridMultilevel"/>
    <w:tmpl w:val="1818B1CC"/>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15:restartNumberingAfterBreak="0">
    <w:nsid w:val="6CE718B9"/>
    <w:multiLevelType w:val="hybridMultilevel"/>
    <w:tmpl w:val="3B1E795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EA3451E"/>
    <w:multiLevelType w:val="hybridMultilevel"/>
    <w:tmpl w:val="AFFA9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A31CDF"/>
    <w:multiLevelType w:val="hybridMultilevel"/>
    <w:tmpl w:val="6EBCC3D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6E50FD8"/>
    <w:multiLevelType w:val="hybridMultilevel"/>
    <w:tmpl w:val="ABCC2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9"/>
  </w:num>
  <w:num w:numId="4">
    <w:abstractNumId w:val="1"/>
  </w:num>
  <w:num w:numId="5">
    <w:abstractNumId w:val="13"/>
  </w:num>
  <w:num w:numId="6">
    <w:abstractNumId w:val="19"/>
  </w:num>
  <w:num w:numId="7">
    <w:abstractNumId w:val="16"/>
  </w:num>
  <w:num w:numId="8">
    <w:abstractNumId w:val="10"/>
  </w:num>
  <w:num w:numId="9">
    <w:abstractNumId w:val="21"/>
  </w:num>
  <w:num w:numId="10">
    <w:abstractNumId w:val="24"/>
  </w:num>
  <w:num w:numId="11">
    <w:abstractNumId w:val="11"/>
  </w:num>
  <w:num w:numId="12">
    <w:abstractNumId w:val="26"/>
  </w:num>
  <w:num w:numId="13">
    <w:abstractNumId w:val="8"/>
  </w:num>
  <w:num w:numId="14">
    <w:abstractNumId w:val="12"/>
  </w:num>
  <w:num w:numId="15">
    <w:abstractNumId w:val="20"/>
  </w:num>
  <w:num w:numId="16">
    <w:abstractNumId w:val="6"/>
  </w:num>
  <w:num w:numId="17">
    <w:abstractNumId w:val="4"/>
  </w:num>
  <w:num w:numId="18">
    <w:abstractNumId w:val="15"/>
  </w:num>
  <w:num w:numId="19">
    <w:abstractNumId w:val="7"/>
  </w:num>
  <w:num w:numId="20">
    <w:abstractNumId w:val="3"/>
  </w:num>
  <w:num w:numId="21">
    <w:abstractNumId w:val="14"/>
  </w:num>
  <w:num w:numId="22">
    <w:abstractNumId w:val="25"/>
  </w:num>
  <w:num w:numId="23">
    <w:abstractNumId w:val="23"/>
  </w:num>
  <w:num w:numId="24">
    <w:abstractNumId w:val="0"/>
  </w:num>
  <w:num w:numId="25">
    <w:abstractNumId w:val="2"/>
  </w:num>
  <w:num w:numId="26">
    <w:abstractNumId w:val="17"/>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E12"/>
    <w:rsid w:val="000F5E12"/>
    <w:rsid w:val="00FB02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04866"/>
  <w15:chartTrackingRefBased/>
  <w15:docId w15:val="{882761A4-AC3A-4044-9DFA-0AB28692A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E12"/>
    <w:pPr>
      <w:spacing w:after="0" w:line="240" w:lineRule="auto"/>
    </w:pPr>
    <w:rPr>
      <w:sz w:val="24"/>
      <w:szCs w:val="24"/>
    </w:rPr>
  </w:style>
  <w:style w:type="paragraph" w:styleId="Heading1">
    <w:name w:val="heading 1"/>
    <w:basedOn w:val="Normal"/>
    <w:next w:val="Normal"/>
    <w:link w:val="Heading1Char"/>
    <w:uiPriority w:val="9"/>
    <w:qFormat/>
    <w:rsid w:val="000F5E1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E1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F5E12"/>
    <w:pPr>
      <w:ind w:left="720"/>
      <w:contextualSpacing/>
    </w:pPr>
  </w:style>
  <w:style w:type="paragraph" w:styleId="Header">
    <w:name w:val="header"/>
    <w:basedOn w:val="Normal"/>
    <w:link w:val="HeaderChar"/>
    <w:uiPriority w:val="99"/>
    <w:unhideWhenUsed/>
    <w:rsid w:val="000F5E12"/>
    <w:pPr>
      <w:tabs>
        <w:tab w:val="center" w:pos="4680"/>
        <w:tab w:val="right" w:pos="9360"/>
      </w:tabs>
    </w:pPr>
  </w:style>
  <w:style w:type="character" w:customStyle="1" w:styleId="HeaderChar">
    <w:name w:val="Header Char"/>
    <w:basedOn w:val="DefaultParagraphFont"/>
    <w:link w:val="Header"/>
    <w:uiPriority w:val="99"/>
    <w:rsid w:val="000F5E12"/>
    <w:rPr>
      <w:sz w:val="24"/>
      <w:szCs w:val="24"/>
    </w:rPr>
  </w:style>
  <w:style w:type="paragraph" w:styleId="Footer">
    <w:name w:val="footer"/>
    <w:basedOn w:val="Normal"/>
    <w:link w:val="FooterChar"/>
    <w:uiPriority w:val="99"/>
    <w:unhideWhenUsed/>
    <w:rsid w:val="000F5E12"/>
    <w:pPr>
      <w:tabs>
        <w:tab w:val="center" w:pos="4680"/>
        <w:tab w:val="right" w:pos="9360"/>
      </w:tabs>
    </w:pPr>
  </w:style>
  <w:style w:type="character" w:customStyle="1" w:styleId="FooterChar">
    <w:name w:val="Footer Char"/>
    <w:basedOn w:val="DefaultParagraphFont"/>
    <w:link w:val="Footer"/>
    <w:uiPriority w:val="99"/>
    <w:rsid w:val="000F5E12"/>
    <w:rPr>
      <w:sz w:val="24"/>
      <w:szCs w:val="24"/>
    </w:rPr>
  </w:style>
  <w:style w:type="character" w:styleId="Hyperlink">
    <w:name w:val="Hyperlink"/>
    <w:basedOn w:val="DefaultParagraphFont"/>
    <w:uiPriority w:val="99"/>
    <w:unhideWhenUsed/>
    <w:rsid w:val="000F5E12"/>
    <w:rPr>
      <w:color w:val="0563C1" w:themeColor="hyperlink"/>
      <w:u w:val="single"/>
    </w:rPr>
  </w:style>
  <w:style w:type="table" w:styleId="TableGrid">
    <w:name w:val="Table Grid"/>
    <w:basedOn w:val="TableNormal"/>
    <w:uiPriority w:val="39"/>
    <w:rsid w:val="000F5E1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F5E12"/>
    <w:rPr>
      <w:color w:val="954F72" w:themeColor="followedHyperlink"/>
      <w:u w:val="single"/>
    </w:rPr>
  </w:style>
  <w:style w:type="character" w:styleId="PageNumber">
    <w:name w:val="page number"/>
    <w:basedOn w:val="DefaultParagraphFont"/>
    <w:uiPriority w:val="99"/>
    <w:semiHidden/>
    <w:unhideWhenUsed/>
    <w:rsid w:val="000F5E12"/>
  </w:style>
  <w:style w:type="paragraph" w:styleId="NormalWeb">
    <w:name w:val="Normal (Web)"/>
    <w:basedOn w:val="Normal"/>
    <w:uiPriority w:val="99"/>
    <w:semiHidden/>
    <w:unhideWhenUsed/>
    <w:rsid w:val="000F5E12"/>
    <w:pPr>
      <w:spacing w:before="100" w:beforeAutospacing="1" w:after="100" w:afterAutospacing="1"/>
    </w:pPr>
    <w:rPr>
      <w:rFonts w:ascii="Times New Roman" w:eastAsiaTheme="minorEastAsia" w:hAnsi="Times New Roman" w:cs="Times New Roman"/>
    </w:rPr>
  </w:style>
  <w:style w:type="character" w:styleId="CommentReference">
    <w:name w:val="annotation reference"/>
    <w:basedOn w:val="DefaultParagraphFont"/>
    <w:uiPriority w:val="99"/>
    <w:semiHidden/>
    <w:unhideWhenUsed/>
    <w:rsid w:val="000F5E12"/>
    <w:rPr>
      <w:sz w:val="16"/>
      <w:szCs w:val="16"/>
    </w:rPr>
  </w:style>
  <w:style w:type="paragraph" w:styleId="CommentText">
    <w:name w:val="annotation text"/>
    <w:basedOn w:val="Normal"/>
    <w:link w:val="CommentTextChar"/>
    <w:uiPriority w:val="99"/>
    <w:semiHidden/>
    <w:unhideWhenUsed/>
    <w:rsid w:val="000F5E12"/>
    <w:rPr>
      <w:sz w:val="20"/>
      <w:szCs w:val="20"/>
    </w:rPr>
  </w:style>
  <w:style w:type="character" w:customStyle="1" w:styleId="CommentTextChar">
    <w:name w:val="Comment Text Char"/>
    <w:basedOn w:val="DefaultParagraphFont"/>
    <w:link w:val="CommentText"/>
    <w:uiPriority w:val="99"/>
    <w:semiHidden/>
    <w:rsid w:val="000F5E12"/>
    <w:rPr>
      <w:sz w:val="20"/>
      <w:szCs w:val="20"/>
    </w:rPr>
  </w:style>
  <w:style w:type="paragraph" w:styleId="CommentSubject">
    <w:name w:val="annotation subject"/>
    <w:basedOn w:val="CommentText"/>
    <w:next w:val="CommentText"/>
    <w:link w:val="CommentSubjectChar"/>
    <w:uiPriority w:val="99"/>
    <w:semiHidden/>
    <w:unhideWhenUsed/>
    <w:rsid w:val="000F5E12"/>
    <w:rPr>
      <w:b/>
      <w:bCs/>
    </w:rPr>
  </w:style>
  <w:style w:type="character" w:customStyle="1" w:styleId="CommentSubjectChar">
    <w:name w:val="Comment Subject Char"/>
    <w:basedOn w:val="CommentTextChar"/>
    <w:link w:val="CommentSubject"/>
    <w:uiPriority w:val="99"/>
    <w:semiHidden/>
    <w:rsid w:val="000F5E12"/>
    <w:rPr>
      <w:b/>
      <w:bCs/>
      <w:sz w:val="20"/>
      <w:szCs w:val="20"/>
    </w:rPr>
  </w:style>
  <w:style w:type="paragraph" w:styleId="BalloonText">
    <w:name w:val="Balloon Text"/>
    <w:basedOn w:val="Normal"/>
    <w:link w:val="BalloonTextChar"/>
    <w:uiPriority w:val="99"/>
    <w:semiHidden/>
    <w:unhideWhenUsed/>
    <w:rsid w:val="000F5E1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5E12"/>
    <w:rPr>
      <w:rFonts w:ascii="Times New Roman" w:hAnsi="Times New Roman" w:cs="Times New Roman"/>
      <w:sz w:val="18"/>
      <w:szCs w:val="18"/>
    </w:rPr>
  </w:style>
  <w:style w:type="character" w:customStyle="1" w:styleId="apple-converted-space">
    <w:name w:val="apple-converted-space"/>
    <w:basedOn w:val="DefaultParagraphFont"/>
    <w:rsid w:val="000F5E12"/>
  </w:style>
  <w:style w:type="character" w:styleId="UnresolvedMention">
    <w:name w:val="Unresolved Mention"/>
    <w:basedOn w:val="DefaultParagraphFont"/>
    <w:uiPriority w:val="99"/>
    <w:rsid w:val="000F5E12"/>
    <w:rPr>
      <w:color w:val="605E5C"/>
      <w:shd w:val="clear" w:color="auto" w:fill="E1DFDD"/>
    </w:rPr>
  </w:style>
  <w:style w:type="paragraph" w:customStyle="1" w:styleId="Default">
    <w:name w:val="Default"/>
    <w:rsid w:val="000F5E1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dickinson@uwaterloo.ca" TargetMode="External"/><Relationship Id="rId13" Type="http://schemas.openxmlformats.org/officeDocument/2006/relationships/hyperlink" Target="https://uwaterloo.ca/secretariat-general-counsel/policies-procedures-guidelines/policy-71" TargetMode="External"/><Relationship Id="rId18" Type="http://schemas.openxmlformats.org/officeDocument/2006/relationships/hyperlink" Target="http://www.uwaterloo.ca/counselling-service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brookings.edu/wp-content/uploads/2018/07/201807_Brookings-Metro_Rethinking-Clusters-Initiatives_Full-report-final.pdf" TargetMode="External"/><Relationship Id="rId7" Type="http://schemas.openxmlformats.org/officeDocument/2006/relationships/webSettings" Target="webSettings.xml"/><Relationship Id="rId12" Type="http://schemas.openxmlformats.org/officeDocument/2006/relationships/hyperlink" Target="https://uwaterloo.ca/library/get-assignment-and-research-help/academic-integrity/academicintegrity-tutorial" TargetMode="External"/><Relationship Id="rId17" Type="http://schemas.openxmlformats.org/officeDocument/2006/relationships/hyperlink" Target="https://uwaterloo.ca/accessability-service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research.uwaterloo.ca/ethics/human/" TargetMode="External"/><Relationship Id="rId20" Type="http://schemas.openxmlformats.org/officeDocument/2006/relationships/hyperlink" Target="https://library.wur.nl/frontis/research_triangles/02_hardin.pdf"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waterloo.ca/academicintegrity/Students/index.html" TargetMode="External"/><Relationship Id="rId24" Type="http://schemas.openxmlformats.org/officeDocument/2006/relationships/hyperlink" Target="https://www.theatlantic.com/past/docs/images/issues/200510/world-is-spiky.pdf" TargetMode="External"/><Relationship Id="rId5" Type="http://schemas.openxmlformats.org/officeDocument/2006/relationships/styles" Target="styles.xml"/><Relationship Id="rId15" Type="http://schemas.openxmlformats.org/officeDocument/2006/relationships/hyperlink" Target="http://www.adm.uwaterloo.ca/infosec/Policies/policy72.htm" TargetMode="External"/><Relationship Id="rId23" Type="http://schemas.openxmlformats.org/officeDocument/2006/relationships/hyperlink" Target="https://journals.sagepub.com/doi/abs/10.1177/0891242414541693" TargetMode="External"/><Relationship Id="rId28" Type="http://schemas.openxmlformats.org/officeDocument/2006/relationships/footer" Target="footer2.xml"/><Relationship Id="rId10" Type="http://schemas.openxmlformats.org/officeDocument/2006/relationships/hyperlink" Target="http://uwaterloo.ca/academicintegrity/" TargetMode="External"/><Relationship Id="rId19" Type="http://schemas.openxmlformats.org/officeDocument/2006/relationships/hyperlink" Target="https://people.uta.fi/~atmaso/verkkokirjasto/engel_gci.pdf"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learn.uwaterloo.ca/" TargetMode="External"/><Relationship Id="rId14" Type="http://schemas.openxmlformats.org/officeDocument/2006/relationships/hyperlink" Target="http://www.adm.uwaterloo.ca/infosec/Policies/policy70.htm" TargetMode="External"/><Relationship Id="rId22" Type="http://schemas.openxmlformats.org/officeDocument/2006/relationships/hyperlink" Target="https://www.oecd-ilibrary.org/docserver/5k9gs1cr080x-en.pdf?expires=1579367726&amp;id=id&amp;accname=guest&amp;checksum=450594E69E52FB76FFE0378FACEAF868"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340ED7CCB1B24D9BD914DBA2D654C4" ma:contentTypeVersion="10" ma:contentTypeDescription="Create a new document." ma:contentTypeScope="" ma:versionID="8c9712830da0a52c455f8fd9c4fb2990">
  <xsd:schema xmlns:xsd="http://www.w3.org/2001/XMLSchema" xmlns:xs="http://www.w3.org/2001/XMLSchema" xmlns:p="http://schemas.microsoft.com/office/2006/metadata/properties" xmlns:ns3="4fb311e2-448e-4aa1-8c22-c1ed5cb165a1" targetNamespace="http://schemas.microsoft.com/office/2006/metadata/properties" ma:root="true" ma:fieldsID="c804f0681572ced9fbf7688bd19dd532" ns3:_="">
    <xsd:import namespace="4fb311e2-448e-4aa1-8c22-c1ed5cb165a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311e2-448e-4aa1-8c22-c1ed5cb165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AF69B7-5722-4B67-981C-90F40C974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311e2-448e-4aa1-8c22-c1ed5cb165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204477-5D53-4951-977F-F46D536984A7}">
  <ds:schemaRefs>
    <ds:schemaRef ds:uri="http://schemas.microsoft.com/sharepoint/v3/contenttype/forms"/>
  </ds:schemaRefs>
</ds:datastoreItem>
</file>

<file path=customXml/itemProps3.xml><?xml version="1.0" encoding="utf-8"?>
<ds:datastoreItem xmlns:ds="http://schemas.openxmlformats.org/officeDocument/2006/customXml" ds:itemID="{A0F92FBE-78BC-40E2-BDDE-3A13D7C902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5749</Words>
  <Characters>32773</Characters>
  <Application>Microsoft Office Word</Application>
  <DocSecurity>0</DocSecurity>
  <Lines>273</Lines>
  <Paragraphs>76</Paragraphs>
  <ScaleCrop>false</ScaleCrop>
  <Company/>
  <LinksUpToDate>false</LinksUpToDate>
  <CharactersWithSpaces>38446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Brock Dickinson</dc:creator>
  <cp:keywords/>
  <dc:description/>
  <cp:lastModifiedBy>Brock Dickinson</cp:lastModifiedBy>
  <cp:revision>1</cp:revision>
  <dcterms:created xsi:type="dcterms:W3CDTF">2020-01-21T22:07:00Z</dcterms:created>
  <dcterms:modified xsi:type="dcterms:W3CDTF">2020-01-21T22:09:00Z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0x010100FD340ED7CCB1B24D9BD914DBA2D654C4</vt:lpwstr>
  </property>
</Properties>
</file>