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1F" w:rsidRPr="004D349A" w:rsidRDefault="00316E1F" w:rsidP="00316E1F">
      <w:pPr>
        <w:tabs>
          <w:tab w:val="left" w:pos="720"/>
        </w:tabs>
        <w:spacing w:after="0" w:line="240" w:lineRule="auto"/>
        <w:contextualSpacing/>
        <w:jc w:val="center"/>
        <w:rPr>
          <w:rFonts w:eastAsiaTheme="majorEastAsia" w:cstheme="majorBidi"/>
          <w:spacing w:val="-10"/>
          <w:kern w:val="28"/>
          <w:sz w:val="28"/>
          <w:szCs w:val="28"/>
        </w:rPr>
      </w:pPr>
      <w:r w:rsidRPr="004D349A">
        <w:rPr>
          <w:rFonts w:eastAsiaTheme="majorEastAsia" w:cstheme="majorBidi"/>
          <w:spacing w:val="-10"/>
          <w:kern w:val="28"/>
          <w:sz w:val="28"/>
          <w:szCs w:val="28"/>
        </w:rPr>
        <w:t>Conrad Grebel University College</w:t>
      </w:r>
    </w:p>
    <w:p w:rsidR="00316E1F" w:rsidRPr="004D349A" w:rsidRDefault="00316E1F" w:rsidP="00316E1F">
      <w:pPr>
        <w:tabs>
          <w:tab w:val="left" w:pos="720"/>
        </w:tabs>
        <w:spacing w:after="0" w:line="240" w:lineRule="auto"/>
        <w:contextualSpacing/>
        <w:jc w:val="center"/>
        <w:rPr>
          <w:rFonts w:eastAsiaTheme="majorEastAsia" w:cstheme="majorBidi"/>
          <w:spacing w:val="-10"/>
          <w:kern w:val="28"/>
          <w:sz w:val="28"/>
          <w:szCs w:val="28"/>
        </w:rPr>
      </w:pPr>
      <w:r w:rsidRPr="004D349A">
        <w:rPr>
          <w:rFonts w:eastAsiaTheme="majorEastAsia" w:cstheme="majorBidi"/>
          <w:spacing w:val="-10"/>
          <w:kern w:val="28"/>
          <w:sz w:val="28"/>
          <w:szCs w:val="28"/>
        </w:rPr>
        <w:t>University of Waterloo</w:t>
      </w:r>
    </w:p>
    <w:p w:rsidR="00316E1F" w:rsidRPr="004D349A" w:rsidRDefault="00316E1F" w:rsidP="00316E1F">
      <w:pPr>
        <w:tabs>
          <w:tab w:val="left" w:pos="720"/>
        </w:tabs>
        <w:spacing w:after="0" w:line="240" w:lineRule="auto"/>
        <w:contextualSpacing/>
        <w:jc w:val="center"/>
        <w:rPr>
          <w:rFonts w:eastAsiaTheme="majorEastAsia" w:cstheme="majorBidi"/>
          <w:spacing w:val="-10"/>
          <w:kern w:val="28"/>
          <w:sz w:val="20"/>
          <w:szCs w:val="20"/>
        </w:rPr>
      </w:pPr>
    </w:p>
    <w:p w:rsidR="00316E1F" w:rsidRPr="004D349A" w:rsidRDefault="00316E1F" w:rsidP="0094205B">
      <w:pPr>
        <w:pStyle w:val="Title"/>
        <w:jc w:val="center"/>
        <w:rPr>
          <w:rFonts w:ascii="Georgia" w:hAnsi="Georgia"/>
          <w:sz w:val="48"/>
          <w:szCs w:val="48"/>
          <w:lang w:val="en-US"/>
        </w:rPr>
      </w:pPr>
      <w:r w:rsidRPr="004D349A">
        <w:rPr>
          <w:rFonts w:ascii="Georgia" w:hAnsi="Georgia"/>
          <w:sz w:val="48"/>
          <w:szCs w:val="48"/>
        </w:rPr>
        <w:fldChar w:fldCharType="begin"/>
      </w:r>
      <w:r w:rsidRPr="004D349A">
        <w:rPr>
          <w:rFonts w:ascii="Georgia" w:hAnsi="Georgia"/>
          <w:sz w:val="48"/>
          <w:szCs w:val="48"/>
        </w:rPr>
        <w:instrText xml:space="preserve"> SEQ CHAPTER \h \r 1</w:instrText>
      </w:r>
      <w:r w:rsidRPr="004D349A">
        <w:rPr>
          <w:rFonts w:ascii="Georgia" w:hAnsi="Georgia"/>
          <w:sz w:val="48"/>
          <w:szCs w:val="48"/>
        </w:rPr>
        <w:fldChar w:fldCharType="end"/>
      </w:r>
      <w:r w:rsidRPr="004D349A">
        <w:rPr>
          <w:rFonts w:ascii="Georgia" w:hAnsi="Georgia"/>
          <w:sz w:val="48"/>
          <w:szCs w:val="48"/>
          <w:lang w:val="en-US"/>
        </w:rPr>
        <w:t>TS 735 – PEACE CHURCH THEOLOGY</w:t>
      </w:r>
    </w:p>
    <w:p w:rsidR="00316E1F" w:rsidRPr="004D349A" w:rsidRDefault="00316E1F" w:rsidP="0094205B">
      <w:pPr>
        <w:pStyle w:val="Subtitle"/>
        <w:jc w:val="center"/>
        <w:rPr>
          <w:rFonts w:ascii="Georgia" w:hAnsi="Georgia"/>
          <w:sz w:val="44"/>
          <w:szCs w:val="44"/>
          <w:lang w:val="en-US"/>
        </w:rPr>
      </w:pPr>
      <w:r w:rsidRPr="004D349A">
        <w:rPr>
          <w:rFonts w:ascii="Georgia" w:hAnsi="Georgia"/>
          <w:lang w:val="en-US"/>
        </w:rPr>
        <w:t>Fall 2019</w:t>
      </w:r>
    </w:p>
    <w:p w:rsidR="00316E1F" w:rsidRPr="00B732C4" w:rsidRDefault="00316E1F" w:rsidP="00B732C4">
      <w:pPr>
        <w:pStyle w:val="NoSpacing"/>
        <w:rPr>
          <w:rFonts w:ascii="Georgia" w:hAnsi="Georgia"/>
        </w:rPr>
      </w:pPr>
    </w:p>
    <w:p w:rsidR="004D349A" w:rsidRPr="00B732C4" w:rsidRDefault="00316E1F" w:rsidP="00B732C4">
      <w:pPr>
        <w:pStyle w:val="NoSpacing"/>
        <w:rPr>
          <w:rFonts w:ascii="Georgia" w:hAnsi="Georgia"/>
        </w:rPr>
      </w:pPr>
      <w:r w:rsidRPr="00B732C4">
        <w:rPr>
          <w:rStyle w:val="Heading2Char"/>
          <w:rFonts w:ascii="Georgia" w:eastAsiaTheme="majorEastAsia" w:hAnsi="Georgia"/>
          <w:sz w:val="22"/>
          <w:szCs w:val="22"/>
        </w:rPr>
        <w:t>Class time</w:t>
      </w:r>
      <w:r w:rsidRPr="00B732C4">
        <w:rPr>
          <w:rFonts w:ascii="Georgia" w:hAnsi="Georgia"/>
        </w:rPr>
        <w:t xml:space="preserve">: </w:t>
      </w:r>
      <w:r w:rsidR="004D349A" w:rsidRPr="00B732C4">
        <w:rPr>
          <w:rFonts w:ascii="Georgia" w:hAnsi="Georgia"/>
        </w:rPr>
        <w:t xml:space="preserve">Tuesdays, 9:00 a.m.–12:00 p.m. </w:t>
      </w:r>
    </w:p>
    <w:p w:rsidR="00316E1F" w:rsidRPr="00B732C4" w:rsidRDefault="00316E1F" w:rsidP="00B732C4">
      <w:pPr>
        <w:pStyle w:val="NoSpacing"/>
        <w:rPr>
          <w:rFonts w:ascii="Georgia" w:hAnsi="Georgia"/>
        </w:rPr>
      </w:pPr>
      <w:r w:rsidRPr="00B732C4">
        <w:rPr>
          <w:rFonts w:ascii="Georgia" w:eastAsiaTheme="majorEastAsia" w:hAnsi="Georgia" w:cstheme="majorBidi"/>
        </w:rPr>
        <w:t>Location</w:t>
      </w:r>
      <w:r w:rsidRPr="00B732C4">
        <w:rPr>
          <w:rFonts w:ascii="Georgia" w:hAnsi="Georgia"/>
        </w:rPr>
        <w:t>: CGR 4224</w:t>
      </w:r>
    </w:p>
    <w:p w:rsidR="00316E1F" w:rsidRPr="00B732C4" w:rsidRDefault="00316E1F" w:rsidP="00B732C4">
      <w:pPr>
        <w:pStyle w:val="NoSpacing"/>
        <w:rPr>
          <w:rFonts w:ascii="Georgia" w:hAnsi="Georgia"/>
        </w:rPr>
      </w:pPr>
    </w:p>
    <w:p w:rsidR="00316E1F" w:rsidRPr="00B732C4" w:rsidRDefault="00316E1F" w:rsidP="00B732C4">
      <w:pPr>
        <w:pStyle w:val="NoSpacing"/>
        <w:rPr>
          <w:rFonts w:ascii="Georgia" w:hAnsi="Georgia"/>
        </w:rPr>
      </w:pPr>
      <w:r w:rsidRPr="00B732C4">
        <w:rPr>
          <w:rStyle w:val="Heading2Char"/>
          <w:rFonts w:ascii="Georgia" w:eastAsiaTheme="majorEastAsia" w:hAnsi="Georgia"/>
          <w:sz w:val="22"/>
          <w:szCs w:val="22"/>
        </w:rPr>
        <w:t>Instructor</w:t>
      </w:r>
      <w:r w:rsidRPr="00B732C4">
        <w:rPr>
          <w:rFonts w:ascii="Georgia" w:hAnsi="Georgia"/>
        </w:rPr>
        <w:t xml:space="preserve">: </w:t>
      </w:r>
      <w:r w:rsidRPr="00B732C4">
        <w:rPr>
          <w:rFonts w:ascii="Georgia" w:eastAsia="Times New Roman" w:hAnsi="Georgia" w:cs="Times New Roman"/>
        </w:rPr>
        <w:t>Dr. Jeremy Bergen</w:t>
      </w:r>
    </w:p>
    <w:p w:rsidR="00316E1F" w:rsidRPr="00842B4E" w:rsidRDefault="00316E1F" w:rsidP="00316E1F">
      <w:pPr>
        <w:tabs>
          <w:tab w:val="left" w:pos="720"/>
        </w:tabs>
        <w:spacing w:after="0" w:line="240" w:lineRule="auto"/>
        <w:rPr>
          <w:rFonts w:eastAsia="Times New Roman" w:cs="Times New Roman"/>
          <w:lang w:val="en-US"/>
        </w:rPr>
      </w:pPr>
      <w:r w:rsidRPr="00842B4E">
        <w:rPr>
          <w:rFonts w:eastAsiaTheme="majorEastAsia" w:cstheme="majorBidi"/>
          <w:lang w:val="en-US"/>
        </w:rPr>
        <w:t>Office</w:t>
      </w:r>
      <w:r w:rsidRPr="00842B4E">
        <w:rPr>
          <w:rFonts w:eastAsia="Times New Roman" w:cs="Times New Roman"/>
          <w:lang w:val="en-US"/>
        </w:rPr>
        <w:t>: CGR 2122</w:t>
      </w:r>
    </w:p>
    <w:p w:rsidR="00316E1F" w:rsidRPr="00842B4E" w:rsidRDefault="00316E1F" w:rsidP="00316E1F">
      <w:pPr>
        <w:tabs>
          <w:tab w:val="left" w:pos="720"/>
        </w:tabs>
        <w:spacing w:after="0" w:line="240" w:lineRule="auto"/>
        <w:rPr>
          <w:rFonts w:eastAsia="Times New Roman" w:cs="Times New Roman"/>
          <w:lang w:val="en-US"/>
        </w:rPr>
      </w:pPr>
      <w:r w:rsidRPr="00842B4E">
        <w:rPr>
          <w:rFonts w:eastAsiaTheme="majorEastAsia" w:cstheme="majorBidi"/>
          <w:lang w:val="en-US"/>
        </w:rPr>
        <w:t>Phone</w:t>
      </w:r>
      <w:r w:rsidRPr="00842B4E">
        <w:rPr>
          <w:rFonts w:eastAsia="Times New Roman" w:cs="Times New Roman"/>
          <w:lang w:val="en-US"/>
        </w:rPr>
        <w:t>: 519-885-0220 ext. 24234</w:t>
      </w:r>
    </w:p>
    <w:p w:rsidR="00316E1F" w:rsidRPr="00842B4E" w:rsidRDefault="00316E1F" w:rsidP="00316E1F">
      <w:pPr>
        <w:tabs>
          <w:tab w:val="left" w:pos="720"/>
        </w:tabs>
        <w:spacing w:after="0" w:line="240" w:lineRule="auto"/>
        <w:rPr>
          <w:rFonts w:eastAsia="Times New Roman" w:cs="Times New Roman"/>
          <w:lang w:val="en-US"/>
        </w:rPr>
      </w:pPr>
      <w:r w:rsidRPr="00842B4E">
        <w:rPr>
          <w:rFonts w:eastAsiaTheme="majorEastAsia" w:cstheme="majorBidi"/>
          <w:lang w:val="en-US"/>
        </w:rPr>
        <w:t>Email</w:t>
      </w:r>
      <w:r w:rsidRPr="00842B4E">
        <w:rPr>
          <w:rFonts w:eastAsia="Times New Roman" w:cs="Times New Roman"/>
          <w:lang w:val="en-US"/>
        </w:rPr>
        <w:t xml:space="preserve">: </w:t>
      </w:r>
      <w:r w:rsidRPr="00842B4E">
        <w:rPr>
          <w:rFonts w:eastAsia="Times New Roman" w:cs="Times New Roman"/>
          <w:u w:val="single"/>
          <w:lang w:val="en-US"/>
        </w:rPr>
        <w:t>jbergen@uwaterloo.ca</w:t>
      </w:r>
    </w:p>
    <w:p w:rsidR="00067988" w:rsidRPr="00B732C4" w:rsidRDefault="00316E1F" w:rsidP="00B732C4">
      <w:pPr>
        <w:tabs>
          <w:tab w:val="left" w:pos="720"/>
        </w:tabs>
        <w:spacing w:after="0" w:line="240" w:lineRule="auto"/>
        <w:rPr>
          <w:rFonts w:eastAsia="Times New Roman" w:cs="Times New Roman"/>
          <w:lang w:val="en-US"/>
        </w:rPr>
      </w:pPr>
      <w:r w:rsidRPr="00842B4E">
        <w:rPr>
          <w:rFonts w:eastAsiaTheme="majorEastAsia" w:cstheme="majorBidi"/>
          <w:lang w:val="en-US"/>
        </w:rPr>
        <w:t>Office hours</w:t>
      </w:r>
      <w:r w:rsidRPr="00842B4E">
        <w:rPr>
          <w:rFonts w:eastAsia="Times New Roman" w:cs="Times New Roman"/>
          <w:lang w:val="en-US"/>
        </w:rPr>
        <w:t>: I am in my office most days.  Drop in anytime my door is open; make an appointment for any conversat</w:t>
      </w:r>
      <w:r w:rsidR="00B732C4">
        <w:rPr>
          <w:rFonts w:eastAsia="Times New Roman" w:cs="Times New Roman"/>
          <w:lang w:val="en-US"/>
        </w:rPr>
        <w:t>ion of more than a few minutes.</w:t>
      </w:r>
    </w:p>
    <w:p w:rsidR="00067988" w:rsidRPr="00B732C4" w:rsidRDefault="00067988" w:rsidP="00B732C4">
      <w:pPr>
        <w:pStyle w:val="Heading1"/>
        <w:rPr>
          <w:rFonts w:ascii="Georgia" w:hAnsi="Georgia"/>
          <w:sz w:val="22"/>
          <w:szCs w:val="22"/>
          <w:u w:val="single"/>
        </w:rPr>
      </w:pPr>
      <w:r w:rsidRPr="00B732C4">
        <w:rPr>
          <w:rFonts w:ascii="Georgia" w:hAnsi="Georgia"/>
          <w:sz w:val="22"/>
          <w:szCs w:val="22"/>
          <w:u w:val="single"/>
        </w:rPr>
        <w:t>Land Acknowledgement</w:t>
      </w:r>
    </w:p>
    <w:p w:rsidR="004F7D7E" w:rsidRPr="00B732C4" w:rsidRDefault="00316E1F" w:rsidP="00B732C4">
      <w:pPr>
        <w:pStyle w:val="NoSpacing"/>
        <w:ind w:left="720"/>
        <w:rPr>
          <w:rFonts w:ascii="Georgia" w:hAnsi="Georgia"/>
          <w:i/>
        </w:rPr>
      </w:pPr>
      <w:r w:rsidRPr="004F7D7E">
        <w:rPr>
          <w:rFonts w:ascii="Georgia" w:hAnsi="Georgia"/>
          <w:i/>
        </w:rPr>
        <w:t xml:space="preserve">We acknowledge that we are living and working on the traditional territory of the </w:t>
      </w:r>
      <w:proofErr w:type="spellStart"/>
      <w:r w:rsidRPr="004F7D7E">
        <w:rPr>
          <w:rFonts w:ascii="Georgia" w:hAnsi="Georgia"/>
          <w:i/>
        </w:rPr>
        <w:t>Attawandaron</w:t>
      </w:r>
      <w:proofErr w:type="spellEnd"/>
      <w:r w:rsidRPr="004F7D7E">
        <w:rPr>
          <w:rFonts w:ascii="Georgia" w:hAnsi="Georgia"/>
          <w:i/>
        </w:rPr>
        <w:t xml:space="preserve"> (also known as Neutral), </w:t>
      </w:r>
      <w:proofErr w:type="spellStart"/>
      <w:r w:rsidRPr="004F7D7E">
        <w:rPr>
          <w:rFonts w:ascii="Georgia" w:hAnsi="Georgia"/>
          <w:i/>
        </w:rPr>
        <w:t>Anishinaabe</w:t>
      </w:r>
      <w:proofErr w:type="spellEnd"/>
      <w:r w:rsidRPr="004F7D7E">
        <w:rPr>
          <w:rFonts w:ascii="Georgia" w:hAnsi="Georgia"/>
          <w:i/>
        </w:rPr>
        <w:t xml:space="preserve"> and Haudenosaunee peoples. The University of Waterloo </w:t>
      </w:r>
      <w:proofErr w:type="gramStart"/>
      <w:r w:rsidRPr="004F7D7E">
        <w:rPr>
          <w:rFonts w:ascii="Georgia" w:hAnsi="Georgia"/>
          <w:i/>
        </w:rPr>
        <w:t>is situated</w:t>
      </w:r>
      <w:proofErr w:type="gramEnd"/>
      <w:r w:rsidRPr="004F7D7E">
        <w:rPr>
          <w:rFonts w:ascii="Georgia" w:hAnsi="Georgia"/>
          <w:i/>
        </w:rPr>
        <w:t xml:space="preserve"> on the </w:t>
      </w:r>
      <w:proofErr w:type="spellStart"/>
      <w:r w:rsidRPr="004F7D7E">
        <w:rPr>
          <w:rFonts w:ascii="Georgia" w:hAnsi="Georgia"/>
          <w:i/>
        </w:rPr>
        <w:t>Haldimand</w:t>
      </w:r>
      <w:proofErr w:type="spellEnd"/>
      <w:r w:rsidRPr="004F7D7E">
        <w:rPr>
          <w:rFonts w:ascii="Georgia" w:hAnsi="Georgia"/>
          <w:i/>
        </w:rPr>
        <w:t xml:space="preserve"> Tract, the land promised to the Six Nations that includes six miles on each side of the Grand River.</w:t>
      </w:r>
    </w:p>
    <w:p w:rsidR="004F7D7E" w:rsidRPr="00B732C4" w:rsidRDefault="00067988" w:rsidP="0094205B">
      <w:pPr>
        <w:pStyle w:val="Heading1"/>
        <w:rPr>
          <w:rFonts w:ascii="Georgia" w:hAnsi="Georgia"/>
          <w:sz w:val="22"/>
          <w:szCs w:val="22"/>
          <w:u w:val="single"/>
        </w:rPr>
      </w:pPr>
      <w:r w:rsidRPr="00B732C4">
        <w:rPr>
          <w:rFonts w:ascii="Georgia" w:hAnsi="Georgia"/>
          <w:sz w:val="22"/>
          <w:szCs w:val="22"/>
          <w:u w:val="single"/>
        </w:rPr>
        <w:t>Course Description</w:t>
      </w:r>
    </w:p>
    <w:p w:rsidR="00067988" w:rsidRPr="00842B4E" w:rsidRDefault="004646DE" w:rsidP="004646DE">
      <w:pPr>
        <w:pStyle w:val="ListParagraph"/>
        <w:spacing w:after="0" w:line="240" w:lineRule="auto"/>
        <w:rPr>
          <w:rFonts w:ascii="Georgia" w:hAnsi="Georgia"/>
          <w:sz w:val="22"/>
          <w:szCs w:val="22"/>
        </w:rPr>
      </w:pPr>
      <w:r w:rsidRPr="00842B4E">
        <w:rPr>
          <w:rFonts w:ascii="Georgia" w:hAnsi="Georgia"/>
          <w:sz w:val="22"/>
          <w:szCs w:val="22"/>
        </w:rPr>
        <w:t>This course is a critical examination of contemporary peace theologies</w:t>
      </w:r>
      <w:r w:rsidR="00316E1F" w:rsidRPr="00842B4E">
        <w:rPr>
          <w:rFonts w:ascii="Georgia" w:hAnsi="Georgia"/>
          <w:sz w:val="22"/>
          <w:szCs w:val="22"/>
        </w:rPr>
        <w:t xml:space="preserve">, especially as they have developed within the Anabaptist/Mennonite tradition. Several themes emerges. </w:t>
      </w:r>
      <w:proofErr w:type="gramStart"/>
      <w:r w:rsidR="00316E1F" w:rsidRPr="00842B4E">
        <w:rPr>
          <w:rFonts w:ascii="Georgia" w:hAnsi="Georgia"/>
          <w:sz w:val="22"/>
          <w:szCs w:val="22"/>
        </w:rPr>
        <w:t>1) There is a strong ecclesiological character to peace theology-- the distinctive character of the community of faith is the embodiment of the peace of Jesus Christ.</w:t>
      </w:r>
      <w:proofErr w:type="gramEnd"/>
      <w:r w:rsidR="00316E1F" w:rsidRPr="00842B4E">
        <w:rPr>
          <w:rFonts w:ascii="Georgia" w:hAnsi="Georgia"/>
          <w:sz w:val="22"/>
          <w:szCs w:val="22"/>
        </w:rPr>
        <w:t xml:space="preserve">  2) In recent decades, peace theology has come to include explicit commitments to and work for justice. 3) Ecumenical contacts have shaped and deepened peace church theology just as peace church theology has prompted a broadening of the discourse of peace within the ecumenical movement, and in other Christian traditions.  4) There are profound internal tensions and contradictions in the theology of the peace churches.</w:t>
      </w:r>
      <w:r w:rsidRPr="00842B4E">
        <w:rPr>
          <w:rFonts w:ascii="Georgia" w:hAnsi="Georgia"/>
          <w:sz w:val="22"/>
          <w:szCs w:val="22"/>
        </w:rPr>
        <w:t xml:space="preserve">  </w:t>
      </w:r>
      <w:r w:rsidR="00067988" w:rsidRPr="00842B4E">
        <w:rPr>
          <w:rFonts w:ascii="Georgia" w:hAnsi="Georgia"/>
          <w:sz w:val="22"/>
          <w:szCs w:val="22"/>
        </w:rPr>
        <w:t xml:space="preserve">For example, the work of Mennonite theologian John Howard Yoder is central in the development of peace church theology, yet given his abuse of women also deeply problematic.  </w:t>
      </w:r>
      <w:r w:rsidRPr="00842B4E">
        <w:rPr>
          <w:rFonts w:ascii="Georgia" w:hAnsi="Georgia"/>
          <w:sz w:val="22"/>
          <w:szCs w:val="22"/>
        </w:rPr>
        <w:t>We</w:t>
      </w:r>
      <w:r w:rsidR="00067988" w:rsidRPr="00842B4E">
        <w:rPr>
          <w:rFonts w:ascii="Georgia" w:hAnsi="Georgia"/>
          <w:sz w:val="22"/>
          <w:szCs w:val="22"/>
        </w:rPr>
        <w:t xml:space="preserve"> will consider how the structure of the peace theology of which Yoder is a primary representative masks other forms of violence, especially violence that is internal to the community of faith.</w:t>
      </w:r>
    </w:p>
    <w:p w:rsidR="00067988" w:rsidRPr="00842B4E" w:rsidRDefault="00067988" w:rsidP="00067988">
      <w:pPr>
        <w:pStyle w:val="NoSpacing"/>
        <w:rPr>
          <w:rFonts w:ascii="Georgia" w:hAnsi="Georgia"/>
        </w:rPr>
      </w:pPr>
    </w:p>
    <w:p w:rsidR="00067988" w:rsidRPr="00B732C4" w:rsidRDefault="00067988" w:rsidP="0094205B">
      <w:pPr>
        <w:pStyle w:val="Heading2"/>
        <w:rPr>
          <w:rFonts w:ascii="Georgia" w:hAnsi="Georgia"/>
          <w:sz w:val="22"/>
          <w:szCs w:val="22"/>
          <w:u w:val="single"/>
        </w:rPr>
      </w:pPr>
      <w:r w:rsidRPr="00B732C4">
        <w:rPr>
          <w:rFonts w:ascii="Georgia" w:hAnsi="Georgia"/>
          <w:sz w:val="22"/>
          <w:szCs w:val="22"/>
          <w:u w:val="single"/>
        </w:rPr>
        <w:t>Learning outcomes</w:t>
      </w:r>
    </w:p>
    <w:p w:rsidR="00067988" w:rsidRPr="00842B4E" w:rsidRDefault="00067988" w:rsidP="00067988">
      <w:pPr>
        <w:pStyle w:val="NoSpacing"/>
        <w:numPr>
          <w:ilvl w:val="0"/>
          <w:numId w:val="9"/>
        </w:numPr>
        <w:rPr>
          <w:rFonts w:ascii="Georgia" w:hAnsi="Georgia"/>
        </w:rPr>
      </w:pPr>
      <w:r w:rsidRPr="00842B4E">
        <w:rPr>
          <w:rFonts w:ascii="Georgia" w:hAnsi="Georgia"/>
        </w:rPr>
        <w:t xml:space="preserve">Demonstrate understanding of peace church theologies, especially as they emerged in the </w:t>
      </w:r>
      <w:r w:rsidR="008C29A2" w:rsidRPr="00842B4E">
        <w:rPr>
          <w:rFonts w:ascii="Georgia" w:hAnsi="Georgia"/>
        </w:rPr>
        <w:t>Anabaptist-Mennonite</w:t>
      </w:r>
      <w:r w:rsidRPr="00842B4E">
        <w:rPr>
          <w:rFonts w:ascii="Georgia" w:hAnsi="Georgia"/>
        </w:rPr>
        <w:t xml:space="preserve"> </w:t>
      </w:r>
      <w:r w:rsidR="00E80205" w:rsidRPr="00842B4E">
        <w:rPr>
          <w:rFonts w:ascii="Georgia" w:hAnsi="Georgia"/>
        </w:rPr>
        <w:t xml:space="preserve">tradition </w:t>
      </w:r>
      <w:r w:rsidRPr="00842B4E">
        <w:rPr>
          <w:rFonts w:ascii="Georgia" w:hAnsi="Georgia"/>
        </w:rPr>
        <w:t xml:space="preserve">in the past century.  </w:t>
      </w:r>
    </w:p>
    <w:p w:rsidR="00067988" w:rsidRPr="00842B4E" w:rsidRDefault="00067988" w:rsidP="00067988">
      <w:pPr>
        <w:pStyle w:val="NoSpacing"/>
        <w:numPr>
          <w:ilvl w:val="0"/>
          <w:numId w:val="9"/>
        </w:numPr>
        <w:rPr>
          <w:rFonts w:ascii="Georgia" w:hAnsi="Georgia"/>
        </w:rPr>
      </w:pPr>
      <w:r w:rsidRPr="00842B4E">
        <w:rPr>
          <w:rFonts w:ascii="Georgia" w:hAnsi="Georgia"/>
        </w:rPr>
        <w:t xml:space="preserve">Articulate </w:t>
      </w:r>
      <w:r w:rsidR="00E80205" w:rsidRPr="00842B4E">
        <w:rPr>
          <w:rFonts w:ascii="Georgia" w:hAnsi="Georgia"/>
        </w:rPr>
        <w:t>connections</w:t>
      </w:r>
      <w:r w:rsidRPr="00842B4E">
        <w:rPr>
          <w:rFonts w:ascii="Georgia" w:hAnsi="Georgia"/>
        </w:rPr>
        <w:t xml:space="preserve"> between</w:t>
      </w:r>
      <w:r w:rsidR="008C29A2" w:rsidRPr="00842B4E">
        <w:rPr>
          <w:rFonts w:ascii="Georgia" w:hAnsi="Georgia"/>
        </w:rPr>
        <w:t xml:space="preserve"> ecclesiology and peace witness.</w:t>
      </w:r>
    </w:p>
    <w:p w:rsidR="00067988" w:rsidRPr="00842B4E" w:rsidRDefault="00067988" w:rsidP="00067988">
      <w:pPr>
        <w:pStyle w:val="NoSpacing"/>
        <w:numPr>
          <w:ilvl w:val="0"/>
          <w:numId w:val="9"/>
        </w:numPr>
        <w:rPr>
          <w:rFonts w:ascii="Georgia" w:hAnsi="Georgia"/>
        </w:rPr>
      </w:pPr>
      <w:r w:rsidRPr="00842B4E">
        <w:rPr>
          <w:rFonts w:ascii="Georgia" w:hAnsi="Georgia"/>
        </w:rPr>
        <w:t xml:space="preserve">Analyze and evaluate </w:t>
      </w:r>
      <w:r w:rsidR="008C29A2" w:rsidRPr="00842B4E">
        <w:rPr>
          <w:rFonts w:ascii="Georgia" w:hAnsi="Georgia"/>
        </w:rPr>
        <w:t>various</w:t>
      </w:r>
      <w:r w:rsidRPr="00842B4E">
        <w:rPr>
          <w:rFonts w:ascii="Georgia" w:hAnsi="Georgia"/>
        </w:rPr>
        <w:t xml:space="preserve"> discourses of peace as they are developing in ecclesial, scholarly, and ecumenical settings.</w:t>
      </w:r>
    </w:p>
    <w:p w:rsidR="00067988" w:rsidRPr="00842B4E" w:rsidRDefault="00067988" w:rsidP="00067988">
      <w:pPr>
        <w:pStyle w:val="NoSpacing"/>
        <w:numPr>
          <w:ilvl w:val="0"/>
          <w:numId w:val="9"/>
        </w:numPr>
        <w:rPr>
          <w:rFonts w:ascii="Georgia" w:hAnsi="Georgia"/>
        </w:rPr>
      </w:pPr>
      <w:r w:rsidRPr="00842B4E">
        <w:rPr>
          <w:rFonts w:ascii="Georgia" w:hAnsi="Georgia"/>
        </w:rPr>
        <w:t>Articulate a variety of theological and practical approaches to peace.</w:t>
      </w:r>
    </w:p>
    <w:p w:rsidR="00067988" w:rsidRPr="00842B4E" w:rsidRDefault="00067988" w:rsidP="00067988">
      <w:pPr>
        <w:pStyle w:val="NoSpacing"/>
        <w:numPr>
          <w:ilvl w:val="0"/>
          <w:numId w:val="9"/>
        </w:numPr>
        <w:rPr>
          <w:rFonts w:ascii="Georgia" w:hAnsi="Georgia"/>
        </w:rPr>
      </w:pPr>
      <w:r w:rsidRPr="00842B4E">
        <w:rPr>
          <w:rFonts w:ascii="Georgia" w:hAnsi="Georgia"/>
        </w:rPr>
        <w:t>Think critically about the implications of peace church theology for theological loci and ethical issues.</w:t>
      </w:r>
    </w:p>
    <w:p w:rsidR="00067988" w:rsidRPr="00842B4E" w:rsidRDefault="00067988" w:rsidP="00067988">
      <w:pPr>
        <w:pStyle w:val="NoSpacing"/>
        <w:numPr>
          <w:ilvl w:val="0"/>
          <w:numId w:val="9"/>
        </w:numPr>
        <w:rPr>
          <w:rFonts w:ascii="Georgia" w:hAnsi="Georgia"/>
        </w:rPr>
      </w:pPr>
      <w:r w:rsidRPr="00842B4E">
        <w:rPr>
          <w:rFonts w:ascii="Georgia" w:hAnsi="Georgia"/>
        </w:rPr>
        <w:t>Understand and critically respond to the blind spots in peace church theologies, including the ways in these theologies have permitted or perpetuated violence.</w:t>
      </w:r>
    </w:p>
    <w:p w:rsidR="00067988" w:rsidRPr="00842B4E" w:rsidRDefault="00067988" w:rsidP="00067988">
      <w:pPr>
        <w:pStyle w:val="NoSpacing"/>
        <w:numPr>
          <w:ilvl w:val="0"/>
          <w:numId w:val="9"/>
        </w:numPr>
        <w:rPr>
          <w:rFonts w:ascii="Georgia" w:hAnsi="Georgia"/>
        </w:rPr>
      </w:pPr>
      <w:r w:rsidRPr="00842B4E">
        <w:rPr>
          <w:rFonts w:ascii="Georgia" w:hAnsi="Georgia"/>
        </w:rPr>
        <w:lastRenderedPageBreak/>
        <w:t>Foster the capacity to engage in respectful and critical dialogue with others.</w:t>
      </w:r>
    </w:p>
    <w:p w:rsidR="003F1A54" w:rsidRPr="00842B4E" w:rsidRDefault="008C29A2" w:rsidP="00067988">
      <w:pPr>
        <w:pStyle w:val="NoSpacing"/>
        <w:numPr>
          <w:ilvl w:val="0"/>
          <w:numId w:val="9"/>
        </w:numPr>
        <w:rPr>
          <w:rFonts w:ascii="Georgia" w:hAnsi="Georgia"/>
        </w:rPr>
      </w:pPr>
      <w:r w:rsidRPr="00842B4E">
        <w:rPr>
          <w:rFonts w:ascii="Georgia" w:hAnsi="Georgia"/>
        </w:rPr>
        <w:t>Make connections betwe</w:t>
      </w:r>
      <w:r w:rsidR="00E80205" w:rsidRPr="00842B4E">
        <w:rPr>
          <w:rFonts w:ascii="Georgia" w:hAnsi="Georgia"/>
        </w:rPr>
        <w:t>en peace theologies and practical</w:t>
      </w:r>
      <w:r w:rsidRPr="00842B4E">
        <w:rPr>
          <w:rFonts w:ascii="Georgia" w:hAnsi="Georgia"/>
        </w:rPr>
        <w:t xml:space="preserve"> peace education in churches and beyond.</w:t>
      </w:r>
    </w:p>
    <w:p w:rsidR="00451F7C" w:rsidRPr="00B732C4" w:rsidRDefault="00067988" w:rsidP="00BA075A">
      <w:pPr>
        <w:pStyle w:val="NoSpacing"/>
        <w:numPr>
          <w:ilvl w:val="0"/>
          <w:numId w:val="9"/>
        </w:numPr>
        <w:rPr>
          <w:rFonts w:ascii="Georgia" w:hAnsi="Georgia"/>
        </w:rPr>
      </w:pPr>
      <w:r w:rsidRPr="00842B4E">
        <w:rPr>
          <w:rFonts w:ascii="Georgia" w:hAnsi="Georgia"/>
        </w:rPr>
        <w:t>Develop skills in theological research and writing.</w:t>
      </w:r>
    </w:p>
    <w:p w:rsidR="001B4CA4" w:rsidRPr="00B732C4" w:rsidRDefault="001B4CA4" w:rsidP="0094205B">
      <w:pPr>
        <w:pStyle w:val="Heading2"/>
        <w:rPr>
          <w:rFonts w:ascii="Georgia" w:hAnsi="Georgia"/>
          <w:sz w:val="22"/>
          <w:szCs w:val="22"/>
          <w:u w:val="single"/>
        </w:rPr>
      </w:pPr>
      <w:r w:rsidRPr="00B732C4">
        <w:rPr>
          <w:rFonts w:ascii="Georgia" w:hAnsi="Georgia"/>
          <w:sz w:val="22"/>
          <w:szCs w:val="22"/>
          <w:u w:val="single"/>
        </w:rPr>
        <w:t>Required texts:</w:t>
      </w:r>
    </w:p>
    <w:p w:rsidR="001B4CA4" w:rsidRPr="00842B4E" w:rsidRDefault="001B4CA4" w:rsidP="001B4CA4">
      <w:pPr>
        <w:pStyle w:val="NoSpacing"/>
        <w:numPr>
          <w:ilvl w:val="0"/>
          <w:numId w:val="8"/>
        </w:numPr>
        <w:rPr>
          <w:rFonts w:ascii="Georgia" w:hAnsi="Georgia"/>
        </w:rPr>
      </w:pPr>
      <w:r w:rsidRPr="00842B4E">
        <w:rPr>
          <w:rFonts w:ascii="Georgia" w:hAnsi="Georgia"/>
        </w:rPr>
        <w:t xml:space="preserve">John Howard Yoder, </w:t>
      </w:r>
      <w:proofErr w:type="gramStart"/>
      <w:r w:rsidRPr="00842B4E">
        <w:rPr>
          <w:rFonts w:ascii="Georgia" w:hAnsi="Georgia"/>
          <w:i/>
        </w:rPr>
        <w:t>The</w:t>
      </w:r>
      <w:proofErr w:type="gramEnd"/>
      <w:r w:rsidRPr="00842B4E">
        <w:rPr>
          <w:rFonts w:ascii="Georgia" w:hAnsi="Georgia"/>
          <w:i/>
        </w:rPr>
        <w:t xml:space="preserve"> Politics of Jesus</w:t>
      </w:r>
      <w:r w:rsidRPr="00842B4E">
        <w:rPr>
          <w:rFonts w:ascii="Georgia" w:hAnsi="Georgia"/>
        </w:rPr>
        <w:t xml:space="preserve">, 2d. ed. (Grand Rapids, MI: Eerdmans, 1994).  </w:t>
      </w:r>
    </w:p>
    <w:p w:rsidR="001B4CA4" w:rsidRPr="00842B4E" w:rsidRDefault="001B4CA4" w:rsidP="001B4CA4">
      <w:pPr>
        <w:pStyle w:val="NoSpacing"/>
        <w:numPr>
          <w:ilvl w:val="0"/>
          <w:numId w:val="8"/>
        </w:numPr>
        <w:rPr>
          <w:rFonts w:ascii="Georgia" w:hAnsi="Georgia"/>
        </w:rPr>
      </w:pPr>
      <w:r w:rsidRPr="00842B4E">
        <w:rPr>
          <w:rFonts w:ascii="Georgia" w:hAnsi="Georgia"/>
        </w:rPr>
        <w:t xml:space="preserve">Karen V. </w:t>
      </w:r>
      <w:proofErr w:type="spellStart"/>
      <w:r w:rsidRPr="00842B4E">
        <w:rPr>
          <w:rFonts w:ascii="Georgia" w:hAnsi="Georgia"/>
        </w:rPr>
        <w:t>Guth</w:t>
      </w:r>
      <w:proofErr w:type="spellEnd"/>
      <w:r w:rsidRPr="00842B4E">
        <w:rPr>
          <w:rFonts w:ascii="Georgia" w:hAnsi="Georgia"/>
        </w:rPr>
        <w:t xml:space="preserve">, </w:t>
      </w:r>
      <w:r w:rsidRPr="00842B4E">
        <w:rPr>
          <w:rFonts w:ascii="Georgia" w:hAnsi="Georgia"/>
          <w:i/>
        </w:rPr>
        <w:t>Christian Ethics at the Boundary: Feminism and Theologies of Public Life</w:t>
      </w:r>
      <w:r w:rsidRPr="00842B4E">
        <w:rPr>
          <w:rFonts w:ascii="Georgia" w:hAnsi="Georgia"/>
        </w:rPr>
        <w:t xml:space="preserve"> (Minneapolis: Fortress Press, 2015).</w:t>
      </w:r>
    </w:p>
    <w:p w:rsidR="00316E1F" w:rsidRPr="00842B4E" w:rsidRDefault="0050205A" w:rsidP="001B4CA4">
      <w:pPr>
        <w:pStyle w:val="NoSpacing"/>
        <w:numPr>
          <w:ilvl w:val="0"/>
          <w:numId w:val="8"/>
        </w:numPr>
        <w:rPr>
          <w:rFonts w:ascii="Georgia" w:hAnsi="Georgia"/>
        </w:rPr>
      </w:pPr>
      <w:r w:rsidRPr="00842B4E">
        <w:rPr>
          <w:rFonts w:ascii="Georgia" w:hAnsi="Georgia"/>
        </w:rPr>
        <w:t xml:space="preserve">TS 735 Courseware Reader </w:t>
      </w:r>
      <w:r w:rsidR="00946881" w:rsidRPr="00842B4E">
        <w:rPr>
          <w:rFonts w:ascii="Georgia" w:hAnsi="Georgia"/>
        </w:rPr>
        <w:t>marked * below.</w:t>
      </w:r>
      <w:r w:rsidRPr="00842B4E">
        <w:rPr>
          <w:rFonts w:ascii="Georgia" w:hAnsi="Georgia"/>
        </w:rPr>
        <w:t xml:space="preserve"> </w:t>
      </w:r>
      <w:r w:rsidR="00316E1F" w:rsidRPr="00842B4E">
        <w:rPr>
          <w:rFonts w:ascii="Georgia" w:hAnsi="Georgia"/>
        </w:rPr>
        <w:t xml:space="preserve"> </w:t>
      </w:r>
      <w:r w:rsidRPr="00842B4E">
        <w:rPr>
          <w:rFonts w:ascii="Georgia" w:hAnsi="Georgia"/>
        </w:rPr>
        <w:t xml:space="preserve">Courseware is available at the campus W-Store at South Campus Hall. Students can also order online and either pickup in store or have books shipped to them.  </w:t>
      </w:r>
      <w:hyperlink r:id="rId7" w:history="1">
        <w:r w:rsidR="00A23C84">
          <w:rPr>
            <w:rStyle w:val="Hyperlink"/>
            <w:rFonts w:ascii="Georgia" w:hAnsi="Georgia"/>
          </w:rPr>
          <w:t>W Store link</w:t>
        </w:r>
      </w:hyperlink>
    </w:p>
    <w:p w:rsidR="000A742D" w:rsidRPr="00B732C4" w:rsidRDefault="00316E1F" w:rsidP="00BA075A">
      <w:pPr>
        <w:pStyle w:val="NoSpacing"/>
        <w:numPr>
          <w:ilvl w:val="0"/>
          <w:numId w:val="8"/>
        </w:numPr>
        <w:rPr>
          <w:rFonts w:ascii="Georgia" w:hAnsi="Georgia"/>
        </w:rPr>
      </w:pPr>
      <w:r w:rsidRPr="00842B4E">
        <w:rPr>
          <w:rFonts w:ascii="Georgia" w:hAnsi="Georgia"/>
        </w:rPr>
        <w:t xml:space="preserve">Other </w:t>
      </w:r>
      <w:r w:rsidR="00946881" w:rsidRPr="00842B4E">
        <w:rPr>
          <w:rFonts w:ascii="Georgia" w:hAnsi="Georgia"/>
        </w:rPr>
        <w:t>readings available online.</w:t>
      </w:r>
    </w:p>
    <w:p w:rsidR="000A742D" w:rsidRPr="00B732C4" w:rsidRDefault="000A742D" w:rsidP="0094205B">
      <w:pPr>
        <w:pStyle w:val="Heading1"/>
        <w:rPr>
          <w:rFonts w:ascii="Georgia" w:hAnsi="Georgia"/>
          <w:sz w:val="22"/>
          <w:szCs w:val="22"/>
          <w:u w:val="single"/>
        </w:rPr>
      </w:pPr>
      <w:r w:rsidRPr="00B732C4">
        <w:rPr>
          <w:rFonts w:ascii="Georgia" w:hAnsi="Georgia"/>
          <w:sz w:val="22"/>
          <w:szCs w:val="22"/>
          <w:u w:val="single"/>
        </w:rPr>
        <w:t>Course requirements and evaluation:</w:t>
      </w:r>
    </w:p>
    <w:p w:rsidR="000A742D" w:rsidRPr="00842B4E" w:rsidRDefault="000A742D" w:rsidP="00B34EF7">
      <w:pPr>
        <w:pStyle w:val="NoSpacing"/>
        <w:numPr>
          <w:ilvl w:val="0"/>
          <w:numId w:val="14"/>
        </w:numPr>
        <w:rPr>
          <w:rFonts w:ascii="Georgia" w:hAnsi="Georgia"/>
        </w:rPr>
      </w:pPr>
      <w:r w:rsidRPr="00842B4E">
        <w:rPr>
          <w:rFonts w:ascii="Georgia" w:hAnsi="Georgia"/>
        </w:rPr>
        <w:t>Engaged participation in class (</w:t>
      </w:r>
      <w:r w:rsidR="000D1DCF" w:rsidRPr="00842B4E">
        <w:rPr>
          <w:rFonts w:ascii="Georgia" w:hAnsi="Georgia"/>
        </w:rPr>
        <w:t>10</w:t>
      </w:r>
      <w:r w:rsidRPr="00842B4E">
        <w:rPr>
          <w:rFonts w:ascii="Georgia" w:hAnsi="Georgia"/>
        </w:rPr>
        <w:t xml:space="preserve">%), including attendance, completion of required readings and balanced involvement in class discussion.  </w:t>
      </w:r>
      <w:r w:rsidR="00C85592" w:rsidRPr="00842B4E">
        <w:rPr>
          <w:rFonts w:ascii="Georgia" w:hAnsi="Georgia"/>
        </w:rPr>
        <w:t xml:space="preserve">Absence from more than one class, even with good reason, will result in a lower participation mark.  </w:t>
      </w:r>
      <w:r w:rsidRPr="00842B4E">
        <w:rPr>
          <w:rFonts w:ascii="Georgia" w:hAnsi="Georgia"/>
        </w:rPr>
        <w:t>Students are to bring a critical question emerging from the readings to each class session.</w:t>
      </w:r>
    </w:p>
    <w:p w:rsidR="009622A2" w:rsidRPr="00842B4E" w:rsidRDefault="009622A2" w:rsidP="009622A2">
      <w:pPr>
        <w:pStyle w:val="NoSpacing"/>
        <w:ind w:left="720"/>
        <w:rPr>
          <w:rFonts w:ascii="Georgia" w:hAnsi="Georgia"/>
        </w:rPr>
      </w:pPr>
    </w:p>
    <w:p w:rsidR="009622A2" w:rsidRPr="00842B4E" w:rsidRDefault="00C85592" w:rsidP="00B34EF7">
      <w:pPr>
        <w:pStyle w:val="NoSpacing"/>
        <w:numPr>
          <w:ilvl w:val="0"/>
          <w:numId w:val="14"/>
        </w:numPr>
        <w:rPr>
          <w:rFonts w:ascii="Georgia" w:hAnsi="Georgia"/>
        </w:rPr>
      </w:pPr>
      <w:r w:rsidRPr="00842B4E">
        <w:rPr>
          <w:rFonts w:ascii="Georgia" w:hAnsi="Georgia"/>
        </w:rPr>
        <w:t>Select either:</w:t>
      </w:r>
    </w:p>
    <w:p w:rsidR="00C85592" w:rsidRPr="00842B4E" w:rsidRDefault="00B249B8" w:rsidP="009622A2">
      <w:pPr>
        <w:pStyle w:val="NoSpacing"/>
        <w:ind w:left="720"/>
        <w:rPr>
          <w:rFonts w:ascii="Georgia" w:hAnsi="Georgia"/>
        </w:rPr>
      </w:pPr>
      <w:r w:rsidRPr="00842B4E">
        <w:rPr>
          <w:rFonts w:ascii="Georgia" w:hAnsi="Georgia"/>
        </w:rPr>
        <w:t xml:space="preserve">a) </w:t>
      </w:r>
      <w:r w:rsidRPr="00842B4E">
        <w:rPr>
          <w:rFonts w:ascii="Georgia" w:hAnsi="Georgia"/>
          <w:i/>
        </w:rPr>
        <w:t>Four</w:t>
      </w:r>
      <w:r w:rsidR="00C85592" w:rsidRPr="00842B4E">
        <w:rPr>
          <w:rFonts w:ascii="Georgia" w:hAnsi="Georgia"/>
        </w:rPr>
        <w:t xml:space="preserve"> critical response papers; </w:t>
      </w:r>
      <w:r w:rsidR="00E80205" w:rsidRPr="00842B4E">
        <w:rPr>
          <w:rFonts w:ascii="Georgia" w:hAnsi="Georgia"/>
        </w:rPr>
        <w:t xml:space="preserve">and </w:t>
      </w:r>
      <w:r w:rsidR="00C85592" w:rsidRPr="00842B4E">
        <w:rPr>
          <w:rFonts w:ascii="Georgia" w:hAnsi="Georgia"/>
        </w:rPr>
        <w:t>lead class dis</w:t>
      </w:r>
      <w:r w:rsidRPr="00842B4E">
        <w:rPr>
          <w:rFonts w:ascii="Georgia" w:hAnsi="Georgia"/>
        </w:rPr>
        <w:t xml:space="preserve">cussion of </w:t>
      </w:r>
      <w:r w:rsidRPr="00842B4E">
        <w:rPr>
          <w:rFonts w:ascii="Georgia" w:hAnsi="Georgia"/>
          <w:i/>
        </w:rPr>
        <w:t>one</w:t>
      </w:r>
      <w:r w:rsidRPr="00842B4E">
        <w:rPr>
          <w:rFonts w:ascii="Georgia" w:hAnsi="Georgia"/>
        </w:rPr>
        <w:t xml:space="preserve"> required reading; OR </w:t>
      </w:r>
    </w:p>
    <w:p w:rsidR="00C85592" w:rsidRPr="00842B4E" w:rsidRDefault="00B249B8" w:rsidP="009622A2">
      <w:pPr>
        <w:pStyle w:val="NoSpacing"/>
        <w:ind w:left="720"/>
        <w:rPr>
          <w:rFonts w:ascii="Georgia" w:hAnsi="Georgia"/>
        </w:rPr>
      </w:pPr>
      <w:r w:rsidRPr="00842B4E">
        <w:rPr>
          <w:rFonts w:ascii="Georgia" w:hAnsi="Georgia"/>
        </w:rPr>
        <w:t xml:space="preserve">b) </w:t>
      </w:r>
      <w:r w:rsidRPr="00842B4E">
        <w:rPr>
          <w:rFonts w:ascii="Georgia" w:hAnsi="Georgia"/>
          <w:i/>
        </w:rPr>
        <w:t>Three</w:t>
      </w:r>
      <w:r w:rsidR="00C85592" w:rsidRPr="00842B4E">
        <w:rPr>
          <w:rFonts w:ascii="Georgia" w:hAnsi="Georgia"/>
        </w:rPr>
        <w:t xml:space="preserve"> critical response paper</w:t>
      </w:r>
      <w:r w:rsidRPr="00842B4E">
        <w:rPr>
          <w:rFonts w:ascii="Georgia" w:hAnsi="Georgia"/>
        </w:rPr>
        <w:t>s</w:t>
      </w:r>
      <w:r w:rsidR="00C85592" w:rsidRPr="00842B4E">
        <w:rPr>
          <w:rFonts w:ascii="Georgia" w:hAnsi="Georgia"/>
        </w:rPr>
        <w:t xml:space="preserve">, lead class discussion of </w:t>
      </w:r>
      <w:r w:rsidR="00C85592" w:rsidRPr="00842B4E">
        <w:rPr>
          <w:rFonts w:ascii="Georgia" w:hAnsi="Georgia"/>
          <w:i/>
        </w:rPr>
        <w:t>two</w:t>
      </w:r>
      <w:r w:rsidR="00C85592" w:rsidRPr="00842B4E">
        <w:rPr>
          <w:rFonts w:ascii="Georgia" w:hAnsi="Georgia"/>
        </w:rPr>
        <w:t xml:space="preserve"> required readings.</w:t>
      </w:r>
      <w:r w:rsidRPr="00842B4E">
        <w:rPr>
          <w:rFonts w:ascii="Georgia" w:hAnsi="Georgia"/>
        </w:rPr>
        <w:t xml:space="preserve"> (5 x 10% = 50%)</w:t>
      </w:r>
    </w:p>
    <w:p w:rsidR="00C85592" w:rsidRPr="00842B4E" w:rsidRDefault="00C85592" w:rsidP="009622A2">
      <w:pPr>
        <w:pStyle w:val="NoSpacing"/>
        <w:ind w:left="720"/>
        <w:rPr>
          <w:rFonts w:ascii="Georgia" w:hAnsi="Georgia"/>
        </w:rPr>
      </w:pPr>
    </w:p>
    <w:p w:rsidR="00B34EF7" w:rsidRPr="00842B4E" w:rsidRDefault="00E80205" w:rsidP="00E6371A">
      <w:pPr>
        <w:pStyle w:val="NoSpacing"/>
        <w:ind w:left="720"/>
        <w:rPr>
          <w:rFonts w:ascii="Georgia" w:hAnsi="Georgia"/>
        </w:rPr>
      </w:pPr>
      <w:r w:rsidRPr="00842B4E">
        <w:rPr>
          <w:rFonts w:ascii="Georgia" w:hAnsi="Georgia"/>
        </w:rPr>
        <w:t xml:space="preserve">A </w:t>
      </w:r>
      <w:r w:rsidRPr="004F7D7E">
        <w:rPr>
          <w:rFonts w:ascii="Georgia" w:hAnsi="Georgia"/>
          <w:b/>
        </w:rPr>
        <w:t>critical response paper</w:t>
      </w:r>
      <w:r w:rsidRPr="00842B4E">
        <w:rPr>
          <w:rFonts w:ascii="Georgia" w:hAnsi="Georgia"/>
        </w:rPr>
        <w:t xml:space="preserve"> addresses a</w:t>
      </w:r>
      <w:r w:rsidR="000A742D" w:rsidRPr="00842B4E">
        <w:rPr>
          <w:rFonts w:ascii="Georgia" w:hAnsi="Georgia"/>
        </w:rPr>
        <w:t>n issue or issues raised in one of the required</w:t>
      </w:r>
      <w:r w:rsidR="00B249B8" w:rsidRPr="00842B4E">
        <w:rPr>
          <w:rFonts w:ascii="Georgia" w:hAnsi="Georgia"/>
        </w:rPr>
        <w:t xml:space="preserve"> readings for the day (3</w:t>
      </w:r>
      <w:r w:rsidR="00FE3C7A" w:rsidRPr="00842B4E">
        <w:rPr>
          <w:rFonts w:ascii="Georgia" w:hAnsi="Georgia"/>
        </w:rPr>
        <w:t>-4</w:t>
      </w:r>
      <w:r w:rsidR="000A742D" w:rsidRPr="00842B4E">
        <w:rPr>
          <w:rFonts w:ascii="Georgia" w:hAnsi="Georgia"/>
        </w:rPr>
        <w:t xml:space="preserve"> pages each).  These papers should include both an account of the author’s argument</w:t>
      </w:r>
      <w:r w:rsidR="00B249B8" w:rsidRPr="00842B4E">
        <w:rPr>
          <w:rFonts w:ascii="Georgia" w:hAnsi="Georgia"/>
        </w:rPr>
        <w:t xml:space="preserve"> that is relevant for the i</w:t>
      </w:r>
      <w:r w:rsidR="00066954" w:rsidRPr="00842B4E">
        <w:rPr>
          <w:rFonts w:ascii="Georgia" w:hAnsi="Georgia"/>
        </w:rPr>
        <w:t>ssue you are discussing (about one</w:t>
      </w:r>
      <w:r w:rsidR="00B249B8" w:rsidRPr="00842B4E">
        <w:rPr>
          <w:rFonts w:ascii="Georgia" w:hAnsi="Georgia"/>
        </w:rPr>
        <w:t xml:space="preserve"> page)</w:t>
      </w:r>
      <w:r w:rsidR="000A742D" w:rsidRPr="00842B4E">
        <w:rPr>
          <w:rFonts w:ascii="Georgia" w:hAnsi="Georgia"/>
        </w:rPr>
        <w:t xml:space="preserve"> and critical engagement with it.</w:t>
      </w:r>
      <w:r w:rsidR="00FE3C7A" w:rsidRPr="00842B4E">
        <w:rPr>
          <w:rFonts w:ascii="Georgia" w:hAnsi="Georgia"/>
        </w:rPr>
        <w:t xml:space="preserve">  You may </w:t>
      </w:r>
      <w:r w:rsidR="00E74174" w:rsidRPr="00842B4E">
        <w:rPr>
          <w:rFonts w:ascii="Georgia" w:hAnsi="Georgia"/>
        </w:rPr>
        <w:t>choose to analyze a particular issue (show its structure and what is a stake</w:t>
      </w:r>
      <w:r w:rsidR="00FE3C7A" w:rsidRPr="00842B4E">
        <w:rPr>
          <w:rFonts w:ascii="Georgia" w:hAnsi="Georgia"/>
        </w:rPr>
        <w:t>), or articulate a position on an issue, in agreement or in disagreement with the author.</w:t>
      </w:r>
      <w:r w:rsidRPr="00842B4E">
        <w:rPr>
          <w:rFonts w:ascii="Georgia" w:hAnsi="Georgia"/>
        </w:rPr>
        <w:t xml:space="preserve">  Engage with one or possibly two issues in a reading, rather than briefly touch</w:t>
      </w:r>
      <w:r w:rsidR="004F7D7E">
        <w:rPr>
          <w:rFonts w:ascii="Georgia" w:hAnsi="Georgia"/>
        </w:rPr>
        <w:t>ing</w:t>
      </w:r>
      <w:r w:rsidRPr="00842B4E">
        <w:rPr>
          <w:rFonts w:ascii="Georgia" w:hAnsi="Georgia"/>
        </w:rPr>
        <w:t xml:space="preserve"> on many issues.  </w:t>
      </w:r>
      <w:r w:rsidR="000A742D" w:rsidRPr="00842B4E">
        <w:rPr>
          <w:rFonts w:ascii="Georgia" w:hAnsi="Georgia"/>
          <w:i/>
        </w:rPr>
        <w:t>The paper is due</w:t>
      </w:r>
      <w:r w:rsidR="00FE3C7A" w:rsidRPr="00842B4E">
        <w:rPr>
          <w:rFonts w:ascii="Georgia" w:hAnsi="Georgia"/>
          <w:i/>
        </w:rPr>
        <w:t xml:space="preserve"> in hard copy</w:t>
      </w:r>
      <w:r w:rsidR="000A742D" w:rsidRPr="00842B4E">
        <w:rPr>
          <w:rFonts w:ascii="Georgia" w:hAnsi="Georgia"/>
          <w:i/>
        </w:rPr>
        <w:t xml:space="preserve"> on the day the reading </w:t>
      </w:r>
      <w:proofErr w:type="gramStart"/>
      <w:r w:rsidR="000A742D" w:rsidRPr="00842B4E">
        <w:rPr>
          <w:rFonts w:ascii="Georgia" w:hAnsi="Georgia"/>
          <w:i/>
        </w:rPr>
        <w:t>will be discussed</w:t>
      </w:r>
      <w:proofErr w:type="gramEnd"/>
      <w:r w:rsidR="000A742D" w:rsidRPr="00842B4E">
        <w:rPr>
          <w:rFonts w:ascii="Georgia" w:hAnsi="Georgia"/>
          <w:i/>
        </w:rPr>
        <w:t xml:space="preserve"> in class</w:t>
      </w:r>
      <w:r w:rsidR="000A742D" w:rsidRPr="00842B4E">
        <w:rPr>
          <w:rFonts w:ascii="Georgia" w:hAnsi="Georgia"/>
        </w:rPr>
        <w:t xml:space="preserve">.  </w:t>
      </w:r>
      <w:r w:rsidR="00E74174" w:rsidRPr="00842B4E">
        <w:rPr>
          <w:rFonts w:ascii="Georgia" w:hAnsi="Georgia"/>
        </w:rPr>
        <w:t>In general, expect to write a paper or lead presentation every two weeks.</w:t>
      </w:r>
    </w:p>
    <w:p w:rsidR="00B34EF7" w:rsidRPr="00842B4E" w:rsidRDefault="00B34EF7" w:rsidP="00B34EF7">
      <w:pPr>
        <w:pStyle w:val="NoSpacing"/>
        <w:ind w:left="720"/>
        <w:rPr>
          <w:rFonts w:ascii="Georgia" w:hAnsi="Georgia"/>
        </w:rPr>
      </w:pPr>
    </w:p>
    <w:p w:rsidR="009622A2" w:rsidRPr="00842B4E" w:rsidRDefault="009622A2" w:rsidP="00B34EF7">
      <w:pPr>
        <w:pStyle w:val="NoSpacing"/>
        <w:ind w:left="720"/>
        <w:rPr>
          <w:rFonts w:ascii="Georgia" w:hAnsi="Georgia"/>
        </w:rPr>
      </w:pPr>
      <w:r w:rsidRPr="004F7D7E">
        <w:rPr>
          <w:rFonts w:ascii="Georgia" w:hAnsi="Georgia"/>
          <w:b/>
        </w:rPr>
        <w:t xml:space="preserve">Lead discussion on </w:t>
      </w:r>
      <w:r w:rsidR="00B249B8" w:rsidRPr="004F7D7E">
        <w:rPr>
          <w:rFonts w:ascii="Georgia" w:hAnsi="Georgia"/>
          <w:b/>
        </w:rPr>
        <w:t>a required reading</w:t>
      </w:r>
      <w:r w:rsidRPr="00842B4E">
        <w:rPr>
          <w:rFonts w:ascii="Georgia" w:hAnsi="Georgia"/>
        </w:rPr>
        <w:t xml:space="preserve"> (10% each)</w:t>
      </w:r>
      <w:r w:rsidR="0075336D">
        <w:rPr>
          <w:rFonts w:ascii="Georgia" w:hAnsi="Georgia"/>
        </w:rPr>
        <w:t>, total about 20</w:t>
      </w:r>
      <w:r w:rsidR="00B34EF7" w:rsidRPr="00842B4E">
        <w:rPr>
          <w:rFonts w:ascii="Georgia" w:hAnsi="Georgia"/>
        </w:rPr>
        <w:t xml:space="preserve"> minutes</w:t>
      </w:r>
      <w:r w:rsidRPr="00842B4E">
        <w:rPr>
          <w:rFonts w:ascii="Georgia" w:hAnsi="Georgia"/>
        </w:rPr>
        <w:t>.</w:t>
      </w:r>
      <w:r w:rsidR="00B249B8" w:rsidRPr="00842B4E">
        <w:rPr>
          <w:rFonts w:ascii="Georgia" w:hAnsi="Georgia"/>
        </w:rPr>
        <w:t xml:space="preserve">  After the first class, the instructor will circulate readings available for selection by email. </w:t>
      </w:r>
      <w:r w:rsidR="00B34EF7" w:rsidRPr="00842B4E">
        <w:rPr>
          <w:rFonts w:ascii="Georgia" w:hAnsi="Georgia"/>
        </w:rPr>
        <w:t xml:space="preserve"> Since everyone will have read the article, you do not need to provide a basic summary.  Rather, tell us what you think is significant about the article.</w:t>
      </w:r>
      <w:r w:rsidR="00B249B8" w:rsidRPr="00842B4E">
        <w:rPr>
          <w:rFonts w:ascii="Georgia" w:hAnsi="Georgia"/>
        </w:rPr>
        <w:t xml:space="preserve"> </w:t>
      </w:r>
      <w:r w:rsidR="00B34EF7" w:rsidRPr="00842B4E">
        <w:rPr>
          <w:rFonts w:ascii="Georgia" w:hAnsi="Georgia"/>
        </w:rPr>
        <w:t xml:space="preserve"> Identify several key </w:t>
      </w:r>
      <w:r w:rsidR="00E80205" w:rsidRPr="00842B4E">
        <w:rPr>
          <w:rFonts w:ascii="Georgia" w:hAnsi="Georgia"/>
        </w:rPr>
        <w:t xml:space="preserve">critical/open-ended </w:t>
      </w:r>
      <w:r w:rsidR="00B34EF7" w:rsidRPr="00842B4E">
        <w:rPr>
          <w:rFonts w:ascii="Georgia" w:hAnsi="Georgia"/>
        </w:rPr>
        <w:t>questions and facilitate a class discussion on the article.  A brief handout can be helpful.</w:t>
      </w:r>
    </w:p>
    <w:p w:rsidR="009622A2" w:rsidRPr="00842B4E" w:rsidRDefault="009622A2" w:rsidP="00C85592">
      <w:pPr>
        <w:pStyle w:val="NoSpacing"/>
        <w:ind w:left="720"/>
        <w:rPr>
          <w:rFonts w:ascii="Georgia" w:hAnsi="Georgia"/>
        </w:rPr>
      </w:pPr>
    </w:p>
    <w:p w:rsidR="00C85592" w:rsidRPr="00842B4E" w:rsidRDefault="00C85592" w:rsidP="00B34EF7">
      <w:pPr>
        <w:pStyle w:val="NoSpacing"/>
        <w:numPr>
          <w:ilvl w:val="0"/>
          <w:numId w:val="14"/>
        </w:numPr>
        <w:rPr>
          <w:rFonts w:ascii="Georgia" w:hAnsi="Georgia"/>
        </w:rPr>
      </w:pPr>
      <w:r w:rsidRPr="00842B4E">
        <w:rPr>
          <w:rFonts w:ascii="Georgia" w:hAnsi="Georgia"/>
        </w:rPr>
        <w:t>Select either:</w:t>
      </w:r>
    </w:p>
    <w:p w:rsidR="00FE3C7A" w:rsidRPr="00842B4E" w:rsidRDefault="00FE3C7A" w:rsidP="00FE3C7A">
      <w:pPr>
        <w:pStyle w:val="NoSpacing"/>
        <w:ind w:left="720"/>
        <w:rPr>
          <w:rFonts w:ascii="Georgia" w:hAnsi="Georgia"/>
        </w:rPr>
      </w:pPr>
      <w:r w:rsidRPr="00842B4E">
        <w:rPr>
          <w:rFonts w:ascii="Georgia" w:hAnsi="Georgia"/>
        </w:rPr>
        <w:t>a) Research paper of 12</w:t>
      </w:r>
      <w:r w:rsidR="00FE1D25" w:rsidRPr="00842B4E">
        <w:rPr>
          <w:rFonts w:ascii="Georgia" w:hAnsi="Georgia"/>
        </w:rPr>
        <w:t>-14</w:t>
      </w:r>
      <w:r w:rsidRPr="00842B4E">
        <w:rPr>
          <w:rFonts w:ascii="Georgia" w:hAnsi="Georgia"/>
        </w:rPr>
        <w:t xml:space="preserve"> pages</w:t>
      </w:r>
      <w:r w:rsidR="00FE1D25" w:rsidRPr="00842B4E">
        <w:rPr>
          <w:rFonts w:ascii="Georgia" w:hAnsi="Georgia"/>
        </w:rPr>
        <w:t xml:space="preserve"> on a theme arising from or related to the course material</w:t>
      </w:r>
      <w:r w:rsidRPr="00842B4E">
        <w:rPr>
          <w:rFonts w:ascii="Georgia" w:hAnsi="Georgia"/>
        </w:rPr>
        <w:t>, plus brief presentation in class (35% + 5% = 40%); OR</w:t>
      </w:r>
    </w:p>
    <w:p w:rsidR="00FE3C7A" w:rsidRPr="00842B4E" w:rsidRDefault="00FE3C7A" w:rsidP="00FE3C7A">
      <w:pPr>
        <w:pStyle w:val="NoSpacing"/>
        <w:ind w:left="720"/>
        <w:rPr>
          <w:rFonts w:ascii="Georgia" w:hAnsi="Georgia"/>
        </w:rPr>
      </w:pPr>
      <w:r w:rsidRPr="00842B4E">
        <w:rPr>
          <w:rFonts w:ascii="Georgia" w:hAnsi="Georgia"/>
        </w:rPr>
        <w:t xml:space="preserve">b) A </w:t>
      </w:r>
      <w:r w:rsidR="00055F78" w:rsidRPr="00842B4E">
        <w:rPr>
          <w:rFonts w:ascii="Georgia" w:hAnsi="Georgia"/>
        </w:rPr>
        <w:t>curriculum</w:t>
      </w:r>
      <w:r w:rsidR="00066954" w:rsidRPr="00842B4E">
        <w:rPr>
          <w:rFonts w:ascii="Georgia" w:hAnsi="Georgia"/>
        </w:rPr>
        <w:t xml:space="preserve"> of three or four </w:t>
      </w:r>
      <w:r w:rsidRPr="00842B4E">
        <w:rPr>
          <w:rFonts w:ascii="Georgia" w:hAnsi="Georgia"/>
        </w:rPr>
        <w:t xml:space="preserve">workshop </w:t>
      </w:r>
      <w:r w:rsidR="00066954" w:rsidRPr="00842B4E">
        <w:rPr>
          <w:rFonts w:ascii="Georgia" w:hAnsi="Georgia"/>
        </w:rPr>
        <w:t xml:space="preserve">sessions </w:t>
      </w:r>
      <w:r w:rsidRPr="00842B4E">
        <w:rPr>
          <w:rFonts w:ascii="Georgia" w:hAnsi="Georgia"/>
        </w:rPr>
        <w:t>on a peace topic to be presented to a church audience, plus sample workshop leadership in class (30% + 10% = 40%)</w:t>
      </w:r>
    </w:p>
    <w:p w:rsidR="00066954" w:rsidRPr="00842B4E" w:rsidRDefault="00066954" w:rsidP="000D1DCF">
      <w:pPr>
        <w:pStyle w:val="NoSpacing"/>
        <w:rPr>
          <w:rFonts w:ascii="Georgia" w:hAnsi="Georgia"/>
        </w:rPr>
      </w:pPr>
    </w:p>
    <w:p w:rsidR="000D1DCF" w:rsidRPr="00842B4E" w:rsidRDefault="000A742D" w:rsidP="00B34EF7">
      <w:pPr>
        <w:pStyle w:val="NoSpacing"/>
        <w:ind w:left="720"/>
        <w:rPr>
          <w:rFonts w:ascii="Georgia" w:hAnsi="Georgia"/>
        </w:rPr>
      </w:pPr>
      <w:r w:rsidRPr="00842B4E">
        <w:rPr>
          <w:rFonts w:ascii="Georgia" w:hAnsi="Georgia"/>
        </w:rPr>
        <w:t xml:space="preserve">Key features of </w:t>
      </w:r>
      <w:r w:rsidR="00FE1D25" w:rsidRPr="00842B4E">
        <w:rPr>
          <w:rFonts w:ascii="Georgia" w:hAnsi="Georgia"/>
        </w:rPr>
        <w:t xml:space="preserve">the </w:t>
      </w:r>
      <w:r w:rsidR="00FE1D25" w:rsidRPr="004F7D7E">
        <w:rPr>
          <w:rFonts w:ascii="Georgia" w:hAnsi="Georgia"/>
          <w:b/>
        </w:rPr>
        <w:t>research paper</w:t>
      </w:r>
      <w:r w:rsidR="00FE1D25" w:rsidRPr="00842B4E">
        <w:rPr>
          <w:rFonts w:ascii="Georgia" w:hAnsi="Georgia"/>
        </w:rPr>
        <w:t xml:space="preserve"> </w:t>
      </w:r>
      <w:proofErr w:type="gramStart"/>
      <w:r w:rsidRPr="00842B4E">
        <w:rPr>
          <w:rFonts w:ascii="Georgia" w:hAnsi="Georgia"/>
        </w:rPr>
        <w:t>are:</w:t>
      </w:r>
      <w:proofErr w:type="gramEnd"/>
      <w:r w:rsidRPr="00842B4E">
        <w:rPr>
          <w:rFonts w:ascii="Georgia" w:hAnsi="Georgia"/>
        </w:rPr>
        <w:t xml:space="preserve"> additional reading, </w:t>
      </w:r>
      <w:r w:rsidR="00FE1D25" w:rsidRPr="00842B4E">
        <w:rPr>
          <w:rFonts w:ascii="Georgia" w:hAnsi="Georgia"/>
        </w:rPr>
        <w:t xml:space="preserve">integration of required readings (if appropriate), </w:t>
      </w:r>
      <w:r w:rsidRPr="00842B4E">
        <w:rPr>
          <w:rFonts w:ascii="Georgia" w:hAnsi="Georgia"/>
        </w:rPr>
        <w:t xml:space="preserve">development and defense of a particular thesis, critical engagement, effective writing.  Students are encouraged to discuss a proposed topic, thesis, and/or working bibliography with the instructor. </w:t>
      </w:r>
      <w:r w:rsidR="00FE1D25" w:rsidRPr="00842B4E">
        <w:rPr>
          <w:rFonts w:ascii="Georgia" w:hAnsi="Georgia"/>
        </w:rPr>
        <w:t xml:space="preserve">Students will also make a </w:t>
      </w:r>
      <w:r w:rsidR="000D1DCF" w:rsidRPr="00842B4E">
        <w:rPr>
          <w:rFonts w:ascii="Georgia" w:hAnsi="Georgia"/>
        </w:rPr>
        <w:t xml:space="preserve">brief </w:t>
      </w:r>
      <w:r w:rsidR="00021C93" w:rsidRPr="00842B4E">
        <w:rPr>
          <w:rFonts w:ascii="Georgia" w:hAnsi="Georgia"/>
        </w:rPr>
        <w:t>(10 minute) p</w:t>
      </w:r>
      <w:r w:rsidR="000D1DCF" w:rsidRPr="00842B4E">
        <w:rPr>
          <w:rFonts w:ascii="Georgia" w:hAnsi="Georgia"/>
        </w:rPr>
        <w:t>resentation</w:t>
      </w:r>
      <w:r w:rsidR="00FE1D25" w:rsidRPr="00842B4E">
        <w:rPr>
          <w:rFonts w:ascii="Georgia" w:hAnsi="Georgia"/>
        </w:rPr>
        <w:t xml:space="preserve"> in the last or second to last class</w:t>
      </w:r>
      <w:r w:rsidR="000D1DCF" w:rsidRPr="00842B4E">
        <w:rPr>
          <w:rFonts w:ascii="Georgia" w:hAnsi="Georgia"/>
        </w:rPr>
        <w:t xml:space="preserve"> </w:t>
      </w:r>
      <w:r w:rsidR="00021C93" w:rsidRPr="00842B4E">
        <w:rPr>
          <w:rFonts w:ascii="Georgia" w:hAnsi="Georgia"/>
        </w:rPr>
        <w:t xml:space="preserve">in which </w:t>
      </w:r>
      <w:r w:rsidR="00FE1D25" w:rsidRPr="00842B4E">
        <w:rPr>
          <w:rFonts w:ascii="Georgia" w:hAnsi="Georgia"/>
        </w:rPr>
        <w:t>they outline the thesis of the paper and supporting evidence and then respond</w:t>
      </w:r>
      <w:r w:rsidR="00021C93" w:rsidRPr="00842B4E">
        <w:rPr>
          <w:rFonts w:ascii="Georgia" w:hAnsi="Georgia"/>
        </w:rPr>
        <w:t xml:space="preserve"> to </w:t>
      </w:r>
      <w:r w:rsidR="00FE1D25" w:rsidRPr="00842B4E">
        <w:rPr>
          <w:rFonts w:ascii="Georgia" w:hAnsi="Georgia"/>
        </w:rPr>
        <w:t>questions.  (See “Research paper guidelines” document in LEARN for further details about the paper.)</w:t>
      </w:r>
    </w:p>
    <w:p w:rsidR="000D1DCF" w:rsidRPr="00842B4E" w:rsidRDefault="000D1DCF" w:rsidP="000D1DCF">
      <w:pPr>
        <w:pStyle w:val="NoSpacing"/>
        <w:rPr>
          <w:rFonts w:ascii="Georgia" w:hAnsi="Georgia"/>
        </w:rPr>
      </w:pPr>
    </w:p>
    <w:p w:rsidR="00113627" w:rsidRPr="00842B4E" w:rsidRDefault="00066954" w:rsidP="00113627">
      <w:pPr>
        <w:pStyle w:val="NoSpacing"/>
        <w:ind w:left="720"/>
        <w:rPr>
          <w:rFonts w:ascii="Georgia" w:hAnsi="Georgia"/>
        </w:rPr>
      </w:pPr>
      <w:r w:rsidRPr="00842B4E">
        <w:rPr>
          <w:rFonts w:ascii="Georgia" w:hAnsi="Georgia"/>
        </w:rPr>
        <w:t xml:space="preserve">Key </w:t>
      </w:r>
      <w:r w:rsidR="00113627" w:rsidRPr="00842B4E">
        <w:rPr>
          <w:rFonts w:ascii="Georgia" w:hAnsi="Georgia"/>
        </w:rPr>
        <w:t xml:space="preserve">features of the </w:t>
      </w:r>
      <w:r w:rsidR="00113627" w:rsidRPr="004F7D7E">
        <w:rPr>
          <w:rFonts w:ascii="Georgia" w:hAnsi="Georgia"/>
          <w:b/>
        </w:rPr>
        <w:t>workshop</w:t>
      </w:r>
      <w:r w:rsidRPr="004F7D7E">
        <w:rPr>
          <w:rFonts w:ascii="Georgia" w:hAnsi="Georgia"/>
          <w:b/>
        </w:rPr>
        <w:t xml:space="preserve"> assignment</w:t>
      </w:r>
      <w:r w:rsidRPr="00842B4E">
        <w:rPr>
          <w:rFonts w:ascii="Georgia" w:hAnsi="Georgia"/>
        </w:rPr>
        <w:t xml:space="preserve"> include: </w:t>
      </w:r>
      <w:r w:rsidR="00123BF1" w:rsidRPr="00842B4E">
        <w:rPr>
          <w:rFonts w:ascii="Georgia" w:hAnsi="Georgia"/>
        </w:rPr>
        <w:t xml:space="preserve">additional reading, integration of required readings (if appropriate), contextualization for a particular audience, coherence of </w:t>
      </w:r>
      <w:r w:rsidR="00363ABB" w:rsidRPr="00842B4E">
        <w:rPr>
          <w:rFonts w:ascii="Georgia" w:hAnsi="Georgia"/>
        </w:rPr>
        <w:t>workshops</w:t>
      </w:r>
      <w:r w:rsidR="00123BF1" w:rsidRPr="00842B4E">
        <w:rPr>
          <w:rFonts w:ascii="Georgia" w:hAnsi="Georgia"/>
        </w:rPr>
        <w:t>, intentional pedagogy, critical engagement</w:t>
      </w:r>
      <w:r w:rsidR="00363ABB" w:rsidRPr="00842B4E">
        <w:rPr>
          <w:rFonts w:ascii="Georgia" w:hAnsi="Georgia"/>
        </w:rPr>
        <w:t xml:space="preserve"> with peace theology material</w:t>
      </w:r>
      <w:r w:rsidR="00123BF1" w:rsidRPr="00842B4E">
        <w:rPr>
          <w:rFonts w:ascii="Georgia" w:hAnsi="Georgia"/>
        </w:rPr>
        <w:t>, creativity</w:t>
      </w:r>
      <w:r w:rsidR="00E80205" w:rsidRPr="00842B4E">
        <w:rPr>
          <w:rFonts w:ascii="Georgia" w:hAnsi="Georgia"/>
        </w:rPr>
        <w:t>, explanation of why you designed the workshops as you did</w:t>
      </w:r>
      <w:r w:rsidR="00123BF1" w:rsidRPr="00842B4E">
        <w:rPr>
          <w:rFonts w:ascii="Georgia" w:hAnsi="Georgia"/>
        </w:rPr>
        <w:t>.</w:t>
      </w:r>
    </w:p>
    <w:p w:rsidR="00113627" w:rsidRPr="00842B4E" w:rsidRDefault="00113627" w:rsidP="00113627">
      <w:pPr>
        <w:pStyle w:val="NoSpacing"/>
        <w:ind w:left="720"/>
        <w:rPr>
          <w:rFonts w:ascii="Georgia" w:hAnsi="Georgia"/>
        </w:rPr>
      </w:pPr>
    </w:p>
    <w:p w:rsidR="00113627" w:rsidRPr="00842B4E" w:rsidRDefault="00363ABB" w:rsidP="00113627">
      <w:pPr>
        <w:pStyle w:val="NoSpacing"/>
        <w:ind w:left="720"/>
        <w:rPr>
          <w:rFonts w:ascii="Georgia" w:hAnsi="Georgia"/>
        </w:rPr>
      </w:pPr>
      <w:r w:rsidRPr="00842B4E">
        <w:rPr>
          <w:rFonts w:ascii="Georgia" w:hAnsi="Georgia"/>
        </w:rPr>
        <w:t>Articulate the overall theme, and objectives for the workshops</w:t>
      </w:r>
      <w:r w:rsidR="00113627" w:rsidRPr="00842B4E">
        <w:rPr>
          <w:rFonts w:ascii="Georgia" w:hAnsi="Georgia"/>
        </w:rPr>
        <w:t>.</w:t>
      </w:r>
      <w:r w:rsidRPr="00842B4E">
        <w:rPr>
          <w:rFonts w:ascii="Georgia" w:hAnsi="Georgia"/>
        </w:rPr>
        <w:t xml:space="preserve">  Why are those objectives important?  Indicate the kind of audience you are writing for, and what assumptions you are making about the audience.</w:t>
      </w:r>
      <w:r w:rsidR="00055F78" w:rsidRPr="00842B4E">
        <w:rPr>
          <w:rFonts w:ascii="Georgia" w:hAnsi="Georgia"/>
        </w:rPr>
        <w:t xml:space="preserve"> What sort of instructions do you need to provide for the workshop leader? While I do want to see evidence of a deliberate pedagogy, I recognize that the course has not been about peace education per se.  Thus, in developing the workshops, give more attention to content rather than to process.</w:t>
      </w:r>
    </w:p>
    <w:p w:rsidR="00113627" w:rsidRPr="00842B4E" w:rsidRDefault="00113627" w:rsidP="00113627">
      <w:pPr>
        <w:pStyle w:val="NoSpacing"/>
        <w:ind w:left="720"/>
        <w:rPr>
          <w:rFonts w:ascii="Georgia" w:hAnsi="Georgia"/>
        </w:rPr>
      </w:pPr>
    </w:p>
    <w:p w:rsidR="00113627" w:rsidRPr="00842B4E" w:rsidRDefault="00123BF1" w:rsidP="00113627">
      <w:pPr>
        <w:pStyle w:val="NoSpacing"/>
        <w:ind w:left="720"/>
        <w:rPr>
          <w:rFonts w:ascii="Georgia" w:hAnsi="Georgia"/>
        </w:rPr>
      </w:pPr>
      <w:r w:rsidRPr="00842B4E">
        <w:rPr>
          <w:rFonts w:ascii="Georgia" w:hAnsi="Georgia"/>
        </w:rPr>
        <w:t xml:space="preserve">Develop an outline for a series of 3 or 4 </w:t>
      </w:r>
      <w:r w:rsidR="00363ABB" w:rsidRPr="00842B4E">
        <w:rPr>
          <w:rFonts w:ascii="Georgia" w:hAnsi="Georgia"/>
        </w:rPr>
        <w:t xml:space="preserve">individual </w:t>
      </w:r>
      <w:r w:rsidRPr="00842B4E">
        <w:rPr>
          <w:rFonts w:ascii="Georgia" w:hAnsi="Georgia"/>
        </w:rPr>
        <w:t>workshop sessions</w:t>
      </w:r>
      <w:r w:rsidR="00363ABB" w:rsidRPr="00842B4E">
        <w:rPr>
          <w:rFonts w:ascii="Georgia" w:hAnsi="Georgia"/>
        </w:rPr>
        <w:t>.  The description</w:t>
      </w:r>
      <w:r w:rsidR="00E80205" w:rsidRPr="00842B4E">
        <w:rPr>
          <w:rFonts w:ascii="Georgia" w:hAnsi="Georgia"/>
        </w:rPr>
        <w:t>s</w:t>
      </w:r>
      <w:r w:rsidR="00363ABB" w:rsidRPr="00842B4E">
        <w:rPr>
          <w:rFonts w:ascii="Georgia" w:hAnsi="Georgia"/>
        </w:rPr>
        <w:t xml:space="preserve"> for each session </w:t>
      </w:r>
      <w:proofErr w:type="gramStart"/>
      <w:r w:rsidR="00363ABB" w:rsidRPr="00842B4E">
        <w:rPr>
          <w:rFonts w:ascii="Georgia" w:hAnsi="Georgia"/>
        </w:rPr>
        <w:t xml:space="preserve">should </w:t>
      </w:r>
      <w:r w:rsidR="00055F78" w:rsidRPr="00842B4E">
        <w:rPr>
          <w:rFonts w:ascii="Georgia" w:hAnsi="Georgia"/>
        </w:rPr>
        <w:t>be fairly detailed</w:t>
      </w:r>
      <w:proofErr w:type="gramEnd"/>
      <w:r w:rsidR="00055F78" w:rsidRPr="00842B4E">
        <w:rPr>
          <w:rFonts w:ascii="Georgia" w:hAnsi="Georgia"/>
        </w:rPr>
        <w:t xml:space="preserve"> </w:t>
      </w:r>
      <w:r w:rsidRPr="00842B4E">
        <w:rPr>
          <w:rFonts w:ascii="Georgia" w:hAnsi="Georgia"/>
        </w:rPr>
        <w:t xml:space="preserve">though can be </w:t>
      </w:r>
      <w:r w:rsidR="00055F78" w:rsidRPr="00842B4E">
        <w:rPr>
          <w:rFonts w:ascii="Georgia" w:hAnsi="Georgia"/>
        </w:rPr>
        <w:t xml:space="preserve">in </w:t>
      </w:r>
      <w:r w:rsidRPr="00842B4E">
        <w:rPr>
          <w:rFonts w:ascii="Georgia" w:hAnsi="Georgia"/>
        </w:rPr>
        <w:t>point form.</w:t>
      </w:r>
      <w:r w:rsidR="00055F78" w:rsidRPr="00842B4E">
        <w:rPr>
          <w:rFonts w:ascii="Georgia" w:hAnsi="Georgia"/>
        </w:rPr>
        <w:t xml:space="preserve">  </w:t>
      </w:r>
      <w:r w:rsidR="00363ABB" w:rsidRPr="00842B4E">
        <w:rPr>
          <w:rFonts w:ascii="Georgia" w:hAnsi="Georgia"/>
        </w:rPr>
        <w:t>W</w:t>
      </w:r>
      <w:r w:rsidRPr="00842B4E">
        <w:rPr>
          <w:rFonts w:ascii="Georgia" w:hAnsi="Georgia"/>
        </w:rPr>
        <w:t>hat will students read? (</w:t>
      </w:r>
      <w:proofErr w:type="gramStart"/>
      <w:r w:rsidRPr="00842B4E">
        <w:rPr>
          <w:rFonts w:ascii="Georgia" w:hAnsi="Georgia"/>
        </w:rPr>
        <w:t>and</w:t>
      </w:r>
      <w:proofErr w:type="gramEnd"/>
      <w:r w:rsidRPr="00842B4E">
        <w:rPr>
          <w:rFonts w:ascii="Georgia" w:hAnsi="Georgia"/>
        </w:rPr>
        <w:t xml:space="preserve"> why</w:t>
      </w:r>
      <w:r w:rsidR="00363ABB" w:rsidRPr="00842B4E">
        <w:rPr>
          <w:rFonts w:ascii="Georgia" w:hAnsi="Georgia"/>
        </w:rPr>
        <w:t>?</w:t>
      </w:r>
      <w:r w:rsidRPr="00842B4E">
        <w:rPr>
          <w:rFonts w:ascii="Georgia" w:hAnsi="Georgia"/>
        </w:rPr>
        <w:t>)</w:t>
      </w:r>
      <w:r w:rsidR="00363ABB" w:rsidRPr="00842B4E">
        <w:rPr>
          <w:rFonts w:ascii="Georgia" w:hAnsi="Georgia"/>
        </w:rPr>
        <w:t xml:space="preserve"> W</w:t>
      </w:r>
      <w:r w:rsidRPr="00842B4E">
        <w:rPr>
          <w:rFonts w:ascii="Georgia" w:hAnsi="Georgia"/>
        </w:rPr>
        <w:t>hat will</w:t>
      </w:r>
      <w:r w:rsidR="00363ABB" w:rsidRPr="00842B4E">
        <w:rPr>
          <w:rFonts w:ascii="Georgia" w:hAnsi="Georgia"/>
        </w:rPr>
        <w:t xml:space="preserve"> they do, and how will they bring their own experiences, questions, insights, to the process? H</w:t>
      </w:r>
      <w:r w:rsidRPr="00842B4E">
        <w:rPr>
          <w:rFonts w:ascii="Georgia" w:hAnsi="Georgia"/>
        </w:rPr>
        <w:t xml:space="preserve">ow will you, as instructor/facilitator, engage with them?  What input </w:t>
      </w:r>
      <w:proofErr w:type="gramStart"/>
      <w:r w:rsidRPr="00842B4E">
        <w:rPr>
          <w:rFonts w:ascii="Georgia" w:hAnsi="Georgia"/>
        </w:rPr>
        <w:t>will</w:t>
      </w:r>
      <w:proofErr w:type="gramEnd"/>
      <w:r w:rsidRPr="00842B4E">
        <w:rPr>
          <w:rFonts w:ascii="Georgia" w:hAnsi="Georgia"/>
        </w:rPr>
        <w:t xml:space="preserve"> you provide?  What critical questions will they discuss?</w:t>
      </w:r>
      <w:r w:rsidR="004F7D7E">
        <w:rPr>
          <w:rFonts w:ascii="Georgia" w:hAnsi="Georgia"/>
        </w:rPr>
        <w:t xml:space="preserve">  Be specific.  Rather than indicate what you talk about (e.g. “Discussion of Romans 13”), give an indication of the content that you provide and how you might frame and lead the discussion (e.g. what you say about how Romans 13 has been interpreted in different ways, and what the implications may be).</w:t>
      </w:r>
    </w:p>
    <w:p w:rsidR="00113627" w:rsidRPr="00842B4E" w:rsidRDefault="00113627" w:rsidP="00113627">
      <w:pPr>
        <w:pStyle w:val="NoSpacing"/>
        <w:ind w:left="720"/>
        <w:rPr>
          <w:rFonts w:ascii="Georgia" w:hAnsi="Georgia"/>
        </w:rPr>
      </w:pPr>
    </w:p>
    <w:p w:rsidR="00FE1D25" w:rsidRDefault="00FE1D25" w:rsidP="00E6371A">
      <w:pPr>
        <w:pStyle w:val="NoSpacing"/>
        <w:ind w:left="720"/>
        <w:rPr>
          <w:rFonts w:ascii="Georgia" w:hAnsi="Georgia"/>
        </w:rPr>
      </w:pPr>
      <w:r w:rsidRPr="00842B4E">
        <w:rPr>
          <w:rFonts w:ascii="Georgia" w:hAnsi="Georgia"/>
        </w:rPr>
        <w:t xml:space="preserve">This assignment is equivalent </w:t>
      </w:r>
      <w:r w:rsidR="004F7D7E">
        <w:rPr>
          <w:rFonts w:ascii="Georgia" w:hAnsi="Georgia"/>
        </w:rPr>
        <w:t xml:space="preserve">to </w:t>
      </w:r>
      <w:r w:rsidR="00066954" w:rsidRPr="00842B4E">
        <w:rPr>
          <w:rFonts w:ascii="Georgia" w:hAnsi="Georgia"/>
        </w:rPr>
        <w:t>researching and writing a 12-page paper</w:t>
      </w:r>
      <w:r w:rsidRPr="00842B4E">
        <w:rPr>
          <w:rFonts w:ascii="Georgia" w:hAnsi="Georgia"/>
        </w:rPr>
        <w:t xml:space="preserve">, so that should give some indication of the amount of work that </w:t>
      </w:r>
      <w:r w:rsidR="004F7D7E">
        <w:rPr>
          <w:rFonts w:ascii="Georgia" w:hAnsi="Georgia"/>
        </w:rPr>
        <w:t>is</w:t>
      </w:r>
      <w:r w:rsidRPr="00842B4E">
        <w:rPr>
          <w:rFonts w:ascii="Georgia" w:hAnsi="Georgia"/>
        </w:rPr>
        <w:t xml:space="preserve"> required.  I encourage you to consult resources on the bibliography as a starting place.  Part of the assignment is to find the </w:t>
      </w:r>
      <w:proofErr w:type="gramStart"/>
      <w:r w:rsidR="00055F78" w:rsidRPr="00842B4E">
        <w:rPr>
          <w:rFonts w:ascii="Georgia" w:hAnsi="Georgia"/>
        </w:rPr>
        <w:t xml:space="preserve">appropriate </w:t>
      </w:r>
      <w:r w:rsidRPr="00842B4E">
        <w:rPr>
          <w:rFonts w:ascii="Georgia" w:hAnsi="Georgia"/>
        </w:rPr>
        <w:t>content-related resources that will either</w:t>
      </w:r>
      <w:proofErr w:type="gramEnd"/>
      <w:r w:rsidRPr="00842B4E">
        <w:rPr>
          <w:rFonts w:ascii="Georgia" w:hAnsi="Georgia"/>
        </w:rPr>
        <w:t xml:space="preserve"> guide </w:t>
      </w:r>
      <w:r w:rsidR="00055F78" w:rsidRPr="00842B4E">
        <w:rPr>
          <w:rFonts w:ascii="Georgia" w:hAnsi="Georgia"/>
        </w:rPr>
        <w:t xml:space="preserve">an </w:t>
      </w:r>
      <w:r w:rsidRPr="00842B4E">
        <w:rPr>
          <w:rFonts w:ascii="Georgia" w:hAnsi="Georgia"/>
        </w:rPr>
        <w:t>instructor, and/or books or articles that you would have students read.</w:t>
      </w:r>
      <w:r w:rsidR="00DB5870" w:rsidRPr="00842B4E">
        <w:rPr>
          <w:rFonts w:ascii="Georgia" w:hAnsi="Georgia"/>
        </w:rPr>
        <w:t xml:space="preserve">  You do not need to use materials that we have already discussed in class, but if such material is the best availabl</w:t>
      </w:r>
      <w:r w:rsidR="00282DDD" w:rsidRPr="00842B4E">
        <w:rPr>
          <w:rFonts w:ascii="Georgia" w:hAnsi="Georgia"/>
        </w:rPr>
        <w:t>e, you should not avoid using them</w:t>
      </w:r>
      <w:r w:rsidR="00DB5870" w:rsidRPr="00842B4E">
        <w:rPr>
          <w:rFonts w:ascii="Georgia" w:hAnsi="Georgia"/>
        </w:rPr>
        <w:t>.  On the other hand, I am expecting that you will be doing reading beyond texts that you have already read.</w:t>
      </w:r>
      <w:r w:rsidR="00842B4E" w:rsidRPr="00842B4E">
        <w:rPr>
          <w:rFonts w:ascii="Georgia" w:hAnsi="Georgia"/>
        </w:rPr>
        <w:t xml:space="preserve">  Because expectations for this assignment can be difficult to specify in detail, students are encouraged to check in with the instructor along the way to ensure they are on track and that the final submission covers the necessary elements.</w:t>
      </w:r>
    </w:p>
    <w:p w:rsidR="00E6371A" w:rsidRPr="00842B4E" w:rsidRDefault="00E6371A" w:rsidP="00E6371A">
      <w:pPr>
        <w:pStyle w:val="NoSpacing"/>
        <w:ind w:left="720"/>
        <w:rPr>
          <w:rFonts w:ascii="Georgia" w:hAnsi="Georgia"/>
        </w:rPr>
      </w:pPr>
    </w:p>
    <w:p w:rsidR="000D1DCF" w:rsidRPr="00842B4E" w:rsidRDefault="000D1DCF" w:rsidP="00113627">
      <w:pPr>
        <w:pStyle w:val="NoSpacing"/>
        <w:ind w:left="720"/>
        <w:rPr>
          <w:rFonts w:ascii="Georgia" w:hAnsi="Georgia"/>
        </w:rPr>
      </w:pPr>
      <w:r w:rsidRPr="00842B4E">
        <w:rPr>
          <w:rFonts w:ascii="Georgia" w:hAnsi="Georgia"/>
        </w:rPr>
        <w:t>Lead 20-25 minutes of class (10%)</w:t>
      </w:r>
      <w:r w:rsidR="00DB5870" w:rsidRPr="00842B4E">
        <w:rPr>
          <w:rFonts w:ascii="Georgia" w:hAnsi="Georgia"/>
        </w:rPr>
        <w:t>. This will likely just be part of one session in your outline.  The session would likely include some input by you, as well as activities/discussions involving everyone in class.</w:t>
      </w:r>
    </w:p>
    <w:p w:rsidR="000D1DCF" w:rsidRPr="00842B4E" w:rsidRDefault="000D1DCF" w:rsidP="000D1DCF">
      <w:pPr>
        <w:pStyle w:val="NoSpacing"/>
        <w:rPr>
          <w:rFonts w:ascii="Georgia" w:hAnsi="Georgia"/>
        </w:rPr>
      </w:pPr>
    </w:p>
    <w:p w:rsidR="000A742D" w:rsidRPr="00842B4E" w:rsidRDefault="000A742D" w:rsidP="000D1DCF">
      <w:pPr>
        <w:pStyle w:val="NoSpacing"/>
        <w:rPr>
          <w:rFonts w:ascii="Georgia" w:hAnsi="Georgia"/>
        </w:rPr>
      </w:pPr>
      <w:r w:rsidRPr="00842B4E">
        <w:rPr>
          <w:rFonts w:ascii="Georgia" w:hAnsi="Georgia"/>
        </w:rPr>
        <w:t xml:space="preserve">The </w:t>
      </w:r>
      <w:r w:rsidR="00DB5870" w:rsidRPr="00842B4E">
        <w:rPr>
          <w:rFonts w:ascii="Georgia" w:hAnsi="Georgia"/>
        </w:rPr>
        <w:t>final written assignment</w:t>
      </w:r>
      <w:r w:rsidRPr="00842B4E">
        <w:rPr>
          <w:rFonts w:ascii="Georgia" w:hAnsi="Georgia"/>
        </w:rPr>
        <w:t xml:space="preserve"> is due </w:t>
      </w:r>
      <w:r w:rsidR="00DB5870" w:rsidRPr="00842B4E">
        <w:rPr>
          <w:rFonts w:ascii="Georgia" w:hAnsi="Georgia"/>
          <w:i/>
        </w:rPr>
        <w:t xml:space="preserve">December </w:t>
      </w:r>
      <w:r w:rsidR="00113627" w:rsidRPr="00842B4E">
        <w:rPr>
          <w:rFonts w:ascii="Georgia" w:hAnsi="Georgia"/>
          <w:i/>
        </w:rPr>
        <w:t>12</w:t>
      </w:r>
      <w:r w:rsidR="00113627" w:rsidRPr="00842B4E">
        <w:rPr>
          <w:rFonts w:ascii="Georgia" w:hAnsi="Georgia"/>
        </w:rPr>
        <w:t xml:space="preserve">, and </w:t>
      </w:r>
      <w:proofErr w:type="gramStart"/>
      <w:r w:rsidR="00113627" w:rsidRPr="00842B4E">
        <w:rPr>
          <w:rFonts w:ascii="Georgia" w:hAnsi="Georgia"/>
        </w:rPr>
        <w:t>may be submitted</w:t>
      </w:r>
      <w:proofErr w:type="gramEnd"/>
      <w:r w:rsidR="00113627" w:rsidRPr="00842B4E">
        <w:rPr>
          <w:rFonts w:ascii="Georgia" w:hAnsi="Georgia"/>
        </w:rPr>
        <w:t xml:space="preserve"> in hard copy </w:t>
      </w:r>
      <w:r w:rsidR="00842B4E" w:rsidRPr="00842B4E">
        <w:rPr>
          <w:rFonts w:ascii="Georgia" w:hAnsi="Georgia"/>
        </w:rPr>
        <w:t xml:space="preserve">(preference) </w:t>
      </w:r>
      <w:r w:rsidR="00113627" w:rsidRPr="00842B4E">
        <w:rPr>
          <w:rFonts w:ascii="Georgia" w:hAnsi="Georgia"/>
        </w:rPr>
        <w:t xml:space="preserve">or by </w:t>
      </w:r>
      <w:r w:rsidRPr="00842B4E">
        <w:rPr>
          <w:rFonts w:ascii="Georgia" w:hAnsi="Georgia"/>
        </w:rPr>
        <w:t>email</w:t>
      </w:r>
      <w:r w:rsidR="00842B4E" w:rsidRPr="00842B4E">
        <w:rPr>
          <w:rFonts w:ascii="Georgia" w:hAnsi="Georgia"/>
        </w:rPr>
        <w:t xml:space="preserve"> (PDF or Word document)</w:t>
      </w:r>
      <w:r w:rsidRPr="00842B4E">
        <w:rPr>
          <w:rFonts w:ascii="Georgia" w:hAnsi="Georgia"/>
        </w:rPr>
        <w:t>.</w:t>
      </w:r>
    </w:p>
    <w:p w:rsidR="0094205B" w:rsidRDefault="0094205B" w:rsidP="0094205B">
      <w:pPr>
        <w:spacing w:after="160" w:line="259" w:lineRule="auto"/>
        <w:rPr>
          <w:u w:val="single"/>
        </w:rPr>
      </w:pPr>
    </w:p>
    <w:p w:rsidR="0094205B" w:rsidRPr="00B732C4" w:rsidRDefault="000A742D" w:rsidP="0094205B">
      <w:pPr>
        <w:pStyle w:val="Heading1"/>
        <w:rPr>
          <w:rFonts w:ascii="Georgia" w:hAnsi="Georgia"/>
          <w:sz w:val="22"/>
          <w:szCs w:val="22"/>
          <w:u w:val="single"/>
        </w:rPr>
      </w:pPr>
      <w:r w:rsidRPr="00B732C4">
        <w:rPr>
          <w:rFonts w:ascii="Georgia" w:hAnsi="Georgia"/>
          <w:sz w:val="22"/>
          <w:szCs w:val="22"/>
          <w:u w:val="single"/>
        </w:rPr>
        <w:t>Class schedule and required readings</w:t>
      </w:r>
    </w:p>
    <w:p w:rsidR="00BA075A" w:rsidRPr="00B732C4" w:rsidRDefault="00842B4E" w:rsidP="004D349A">
      <w:pPr>
        <w:pStyle w:val="Heading2"/>
        <w:rPr>
          <w:rFonts w:ascii="Georgia" w:hAnsi="Georgia"/>
          <w:sz w:val="22"/>
          <w:szCs w:val="22"/>
        </w:rPr>
      </w:pPr>
      <w:r w:rsidRPr="00B732C4">
        <w:rPr>
          <w:rStyle w:val="Heading2Char"/>
          <w:rFonts w:ascii="Georgia" w:hAnsi="Georgia"/>
          <w:sz w:val="22"/>
          <w:szCs w:val="22"/>
        </w:rPr>
        <w:t>1</w:t>
      </w:r>
      <w:r w:rsidR="001E04A7" w:rsidRPr="00B732C4">
        <w:rPr>
          <w:rStyle w:val="Heading2Char"/>
          <w:rFonts w:ascii="Georgia" w:hAnsi="Georgia"/>
          <w:sz w:val="22"/>
          <w:szCs w:val="22"/>
        </w:rPr>
        <w:t xml:space="preserve">. </w:t>
      </w:r>
      <w:r w:rsidR="00234159" w:rsidRPr="00B732C4">
        <w:rPr>
          <w:rStyle w:val="Heading2Char"/>
          <w:rFonts w:ascii="Georgia" w:hAnsi="Georgia"/>
          <w:sz w:val="22"/>
          <w:szCs w:val="22"/>
        </w:rPr>
        <w:t>September 10</w:t>
      </w:r>
      <w:r w:rsidR="00234159" w:rsidRPr="00B732C4">
        <w:rPr>
          <w:rFonts w:ascii="Georgia" w:hAnsi="Georgia"/>
          <w:sz w:val="22"/>
          <w:szCs w:val="22"/>
        </w:rPr>
        <w:t xml:space="preserve">: </w:t>
      </w:r>
      <w:r w:rsidR="001B4CA4" w:rsidRPr="00B732C4">
        <w:rPr>
          <w:rFonts w:ascii="Georgia" w:hAnsi="Georgia"/>
          <w:sz w:val="22"/>
          <w:szCs w:val="22"/>
        </w:rPr>
        <w:t>Introduction,</w:t>
      </w:r>
      <w:r w:rsidR="001E04A7" w:rsidRPr="00B732C4">
        <w:rPr>
          <w:rFonts w:ascii="Georgia" w:hAnsi="Georgia"/>
          <w:sz w:val="22"/>
          <w:szCs w:val="22"/>
        </w:rPr>
        <w:t xml:space="preserve"> Historic Nonresistance</w:t>
      </w:r>
    </w:p>
    <w:p w:rsidR="007C2C1A" w:rsidRPr="00B732C4" w:rsidRDefault="007C2C1A" w:rsidP="007C2C1A">
      <w:pPr>
        <w:pStyle w:val="NoSpacing"/>
        <w:numPr>
          <w:ilvl w:val="0"/>
          <w:numId w:val="1"/>
        </w:numPr>
        <w:rPr>
          <w:rFonts w:ascii="Georgia" w:hAnsi="Georgia"/>
        </w:rPr>
      </w:pPr>
      <w:r w:rsidRPr="00B732C4">
        <w:rPr>
          <w:rFonts w:ascii="Georgia" w:hAnsi="Georgia"/>
        </w:rPr>
        <w:t xml:space="preserve">The </w:t>
      </w:r>
      <w:proofErr w:type="spellStart"/>
      <w:r w:rsidRPr="00B732C4">
        <w:rPr>
          <w:rFonts w:ascii="Georgia" w:hAnsi="Georgia"/>
        </w:rPr>
        <w:t>Schleitheim</w:t>
      </w:r>
      <w:proofErr w:type="spellEnd"/>
      <w:r w:rsidRPr="00B732C4">
        <w:rPr>
          <w:rFonts w:ascii="Georgia" w:hAnsi="Georgia"/>
        </w:rPr>
        <w:t xml:space="preserve"> Confession (1527), available at: </w:t>
      </w:r>
      <w:hyperlink r:id="rId8" w:history="1">
        <w:proofErr w:type="spellStart"/>
        <w:r w:rsidR="00A23C84" w:rsidRPr="00A23C84">
          <w:rPr>
            <w:rStyle w:val="Hyperlink"/>
            <w:rFonts w:ascii="Georgia" w:hAnsi="Georgia"/>
          </w:rPr>
          <w:t>Schleitheim</w:t>
        </w:r>
        <w:proofErr w:type="spellEnd"/>
        <w:r w:rsidR="00A23C84" w:rsidRPr="00A23C84">
          <w:rPr>
            <w:rStyle w:val="Hyperlink"/>
            <w:rFonts w:ascii="Georgia" w:hAnsi="Georgia"/>
          </w:rPr>
          <w:t xml:space="preserve"> Confession link</w:t>
        </w:r>
      </w:hyperlink>
    </w:p>
    <w:p w:rsidR="007C2C1A" w:rsidRPr="00B732C4" w:rsidRDefault="007C2C1A" w:rsidP="007C2C1A">
      <w:pPr>
        <w:pStyle w:val="NoSpacing"/>
        <w:numPr>
          <w:ilvl w:val="0"/>
          <w:numId w:val="1"/>
        </w:numPr>
        <w:rPr>
          <w:rFonts w:ascii="Georgia" w:hAnsi="Georgia"/>
        </w:rPr>
      </w:pPr>
      <w:r w:rsidRPr="00B732C4">
        <w:rPr>
          <w:rFonts w:ascii="Georgia" w:hAnsi="Georgia"/>
        </w:rPr>
        <w:t xml:space="preserve">*C. Arnold Snyder, “Discipleship: Following </w:t>
      </w:r>
      <w:proofErr w:type="gramStart"/>
      <w:r w:rsidRPr="00B732C4">
        <w:rPr>
          <w:rFonts w:ascii="Georgia" w:hAnsi="Georgia"/>
        </w:rPr>
        <w:t>After</w:t>
      </w:r>
      <w:proofErr w:type="gramEnd"/>
      <w:r w:rsidRPr="00B732C4">
        <w:rPr>
          <w:rFonts w:ascii="Georgia" w:hAnsi="Georgia"/>
        </w:rPr>
        <w:t xml:space="preserve"> Christ,” in </w:t>
      </w:r>
      <w:r w:rsidRPr="00B732C4">
        <w:rPr>
          <w:rFonts w:ascii="Georgia" w:hAnsi="Georgia"/>
          <w:i/>
        </w:rPr>
        <w:t xml:space="preserve">Following </w:t>
      </w:r>
      <w:r w:rsidR="0088758C" w:rsidRPr="00B732C4">
        <w:rPr>
          <w:rFonts w:ascii="Georgia" w:hAnsi="Georgia"/>
          <w:i/>
        </w:rPr>
        <w:t>in the Footsteps of Christ</w:t>
      </w:r>
      <w:r w:rsidR="0088758C" w:rsidRPr="00B732C4">
        <w:rPr>
          <w:rFonts w:ascii="Georgia" w:hAnsi="Georgia"/>
        </w:rPr>
        <w:t xml:space="preserve"> (</w:t>
      </w:r>
      <w:proofErr w:type="spellStart"/>
      <w:r w:rsidR="0088758C" w:rsidRPr="00B732C4">
        <w:rPr>
          <w:rFonts w:ascii="Georgia" w:hAnsi="Georgia"/>
        </w:rPr>
        <w:t>Maryknoll</w:t>
      </w:r>
      <w:proofErr w:type="spellEnd"/>
      <w:r w:rsidR="0088758C" w:rsidRPr="00B732C4">
        <w:rPr>
          <w:rFonts w:ascii="Georgia" w:hAnsi="Georgia"/>
        </w:rPr>
        <w:t xml:space="preserve">, NY: </w:t>
      </w:r>
      <w:proofErr w:type="spellStart"/>
      <w:r w:rsidR="0088758C" w:rsidRPr="00B732C4">
        <w:rPr>
          <w:rFonts w:ascii="Georgia" w:hAnsi="Georgia"/>
        </w:rPr>
        <w:t>Orbis</w:t>
      </w:r>
      <w:proofErr w:type="spellEnd"/>
      <w:r w:rsidR="0088758C" w:rsidRPr="00B732C4">
        <w:rPr>
          <w:rFonts w:ascii="Georgia" w:hAnsi="Georgia"/>
        </w:rPr>
        <w:t xml:space="preserve"> Books, 2004)</w:t>
      </w:r>
      <w:r w:rsidRPr="00B732C4">
        <w:rPr>
          <w:rFonts w:ascii="Georgia" w:hAnsi="Georgia"/>
          <w:i/>
        </w:rPr>
        <w:t xml:space="preserve"> </w:t>
      </w:r>
      <w:r w:rsidRPr="00B732C4">
        <w:rPr>
          <w:rFonts w:ascii="Georgia" w:hAnsi="Georgia"/>
        </w:rPr>
        <w:t>138-158, notes 210-212.</w:t>
      </w:r>
    </w:p>
    <w:p w:rsidR="00DE7DDF" w:rsidRPr="00B732C4" w:rsidRDefault="007C2C1A" w:rsidP="00BA075A">
      <w:pPr>
        <w:pStyle w:val="NoSpacing"/>
        <w:numPr>
          <w:ilvl w:val="0"/>
          <w:numId w:val="1"/>
        </w:numPr>
        <w:rPr>
          <w:rFonts w:ascii="Georgia" w:hAnsi="Georgia"/>
        </w:rPr>
      </w:pPr>
      <w:r w:rsidRPr="00B732C4">
        <w:rPr>
          <w:rFonts w:ascii="Georgia" w:hAnsi="Georgia"/>
        </w:rPr>
        <w:t xml:space="preserve">*Guy Franklin Hershberger, </w:t>
      </w:r>
      <w:r w:rsidRPr="00B732C4">
        <w:rPr>
          <w:rFonts w:ascii="Georgia" w:hAnsi="Georgia"/>
          <w:i/>
        </w:rPr>
        <w:t>War, Peace, and Nonresistance</w:t>
      </w:r>
      <w:r w:rsidR="0088758C" w:rsidRPr="00B732C4">
        <w:rPr>
          <w:rFonts w:ascii="Georgia" w:hAnsi="Georgia"/>
        </w:rPr>
        <w:t>, 3</w:t>
      </w:r>
      <w:r w:rsidR="0088758C" w:rsidRPr="00B732C4">
        <w:rPr>
          <w:rFonts w:ascii="Georgia" w:hAnsi="Georgia"/>
          <w:vertAlign w:val="superscript"/>
        </w:rPr>
        <w:t>rd</w:t>
      </w:r>
      <w:r w:rsidR="0088758C" w:rsidRPr="00B732C4">
        <w:rPr>
          <w:rFonts w:ascii="Georgia" w:hAnsi="Georgia"/>
        </w:rPr>
        <w:t xml:space="preserve"> ed. (</w:t>
      </w:r>
      <w:proofErr w:type="spellStart"/>
      <w:r w:rsidR="0088758C" w:rsidRPr="00B732C4">
        <w:rPr>
          <w:rFonts w:ascii="Georgia" w:hAnsi="Georgia"/>
        </w:rPr>
        <w:t>Scottdale</w:t>
      </w:r>
      <w:proofErr w:type="spellEnd"/>
      <w:r w:rsidR="0088758C" w:rsidRPr="00B732C4">
        <w:rPr>
          <w:rFonts w:ascii="Georgia" w:hAnsi="Georgia"/>
        </w:rPr>
        <w:t>, PA: Herald Press, 1981),</w:t>
      </w:r>
      <w:r w:rsidRPr="00B732C4">
        <w:rPr>
          <w:rFonts w:ascii="Georgia" w:hAnsi="Georgia"/>
        </w:rPr>
        <w:t xml:space="preserve"> table of contents, 49-60, 172-176, </w:t>
      </w:r>
      <w:proofErr w:type="gramStart"/>
      <w:r w:rsidRPr="00B732C4">
        <w:rPr>
          <w:rFonts w:ascii="Georgia" w:hAnsi="Georgia"/>
        </w:rPr>
        <w:t>186</w:t>
      </w:r>
      <w:proofErr w:type="gramEnd"/>
      <w:r w:rsidRPr="00B732C4">
        <w:rPr>
          <w:rFonts w:ascii="Georgia" w:hAnsi="Georgia"/>
        </w:rPr>
        <w:t>-189.</w:t>
      </w:r>
    </w:p>
    <w:p w:rsidR="001E04A7" w:rsidRPr="00B732C4" w:rsidRDefault="001E04A7" w:rsidP="004D349A">
      <w:pPr>
        <w:pStyle w:val="Heading2"/>
        <w:rPr>
          <w:rFonts w:ascii="Georgia" w:hAnsi="Georgia"/>
          <w:sz w:val="22"/>
          <w:szCs w:val="22"/>
        </w:rPr>
      </w:pPr>
      <w:r w:rsidRPr="00B732C4">
        <w:rPr>
          <w:rStyle w:val="Heading2Char"/>
          <w:rFonts w:ascii="Georgia" w:hAnsi="Georgia"/>
          <w:sz w:val="22"/>
          <w:szCs w:val="22"/>
        </w:rPr>
        <w:t xml:space="preserve">2. </w:t>
      </w:r>
      <w:r w:rsidR="00234159" w:rsidRPr="00B732C4">
        <w:rPr>
          <w:rStyle w:val="Heading2Char"/>
          <w:rFonts w:ascii="Georgia" w:hAnsi="Georgia"/>
          <w:sz w:val="22"/>
          <w:szCs w:val="22"/>
        </w:rPr>
        <w:t>September 17</w:t>
      </w:r>
      <w:r w:rsidR="00234159" w:rsidRPr="00B732C4">
        <w:rPr>
          <w:rFonts w:ascii="Georgia" w:hAnsi="Georgia"/>
          <w:sz w:val="22"/>
          <w:szCs w:val="22"/>
        </w:rPr>
        <w:t xml:space="preserve">: </w:t>
      </w:r>
      <w:r w:rsidRPr="00B732C4">
        <w:rPr>
          <w:rFonts w:ascii="Georgia" w:hAnsi="Georgia"/>
          <w:sz w:val="22"/>
          <w:szCs w:val="22"/>
        </w:rPr>
        <w:t>Just War, Realism</w:t>
      </w:r>
    </w:p>
    <w:p w:rsidR="00B50959" w:rsidRPr="00B732C4" w:rsidRDefault="007C2C1A" w:rsidP="00BA075A">
      <w:pPr>
        <w:pStyle w:val="NoSpacing"/>
        <w:numPr>
          <w:ilvl w:val="0"/>
          <w:numId w:val="2"/>
        </w:numPr>
        <w:rPr>
          <w:rFonts w:ascii="Georgia" w:hAnsi="Georgia"/>
        </w:rPr>
      </w:pPr>
      <w:r w:rsidRPr="00B732C4">
        <w:rPr>
          <w:rFonts w:ascii="Georgia" w:hAnsi="Georgia"/>
        </w:rPr>
        <w:t>*</w:t>
      </w:r>
      <w:r w:rsidR="00B50959" w:rsidRPr="00B732C4">
        <w:rPr>
          <w:rFonts w:ascii="Georgia" w:hAnsi="Georgia"/>
        </w:rPr>
        <w:t xml:space="preserve">Mark J. Allman, “Just War Theory: A Third Way?” in </w:t>
      </w:r>
      <w:r w:rsidR="00B50959" w:rsidRPr="00B732C4">
        <w:rPr>
          <w:rFonts w:ascii="Georgia" w:hAnsi="Georgia"/>
          <w:i/>
        </w:rPr>
        <w:t>Who Would Jesus Kill?</w:t>
      </w:r>
      <w:r w:rsidR="00B50959" w:rsidRPr="00B732C4">
        <w:rPr>
          <w:rFonts w:ascii="Georgia" w:hAnsi="Georgia"/>
        </w:rPr>
        <w:t xml:space="preserve"> (Winona, MN: Saint Mary’s Press, 2008), 158-209.</w:t>
      </w:r>
    </w:p>
    <w:p w:rsidR="00915769" w:rsidRPr="00B732C4" w:rsidRDefault="00915769" w:rsidP="007C2C1A">
      <w:pPr>
        <w:pStyle w:val="NoSpacing"/>
        <w:numPr>
          <w:ilvl w:val="0"/>
          <w:numId w:val="2"/>
        </w:numPr>
        <w:rPr>
          <w:rFonts w:ascii="Georgia" w:hAnsi="Georgia"/>
        </w:rPr>
      </w:pPr>
      <w:r w:rsidRPr="00B732C4">
        <w:rPr>
          <w:rFonts w:ascii="Georgia" w:hAnsi="Georgia"/>
        </w:rPr>
        <w:t xml:space="preserve">Thomas Aquinas, </w:t>
      </w:r>
      <w:r w:rsidRPr="00B732C4">
        <w:rPr>
          <w:rFonts w:ascii="Georgia" w:hAnsi="Georgia"/>
          <w:i/>
        </w:rPr>
        <w:t xml:space="preserve">Summa </w:t>
      </w:r>
      <w:proofErr w:type="spellStart"/>
      <w:r w:rsidRPr="00B732C4">
        <w:rPr>
          <w:rFonts w:ascii="Georgia" w:hAnsi="Georgia"/>
          <w:i/>
        </w:rPr>
        <w:t>Theologica</w:t>
      </w:r>
      <w:proofErr w:type="spellEnd"/>
      <w:r w:rsidRPr="00B732C4">
        <w:rPr>
          <w:rFonts w:ascii="Georgia" w:hAnsi="Georgia"/>
        </w:rPr>
        <w:t xml:space="preserve">, II-II, question 40, articles </w:t>
      </w:r>
      <w:proofErr w:type="gramStart"/>
      <w:r w:rsidRPr="00B732C4">
        <w:rPr>
          <w:rFonts w:ascii="Georgia" w:hAnsi="Georgia"/>
        </w:rPr>
        <w:t>1</w:t>
      </w:r>
      <w:proofErr w:type="gramEnd"/>
      <w:r w:rsidRPr="00B732C4">
        <w:rPr>
          <w:rFonts w:ascii="Georgia" w:hAnsi="Georgia"/>
        </w:rPr>
        <w:t xml:space="preserve"> and 2</w:t>
      </w:r>
      <w:r w:rsidR="00FB71EF" w:rsidRPr="00B732C4">
        <w:rPr>
          <w:rFonts w:ascii="Georgia" w:hAnsi="Georgia"/>
        </w:rPr>
        <w:t xml:space="preserve">. </w:t>
      </w:r>
      <w:hyperlink r:id="rId9" w:anchor="SSQ40OUTP1" w:history="1">
        <w:r w:rsidR="00A23C84">
          <w:rPr>
            <w:rStyle w:val="Hyperlink"/>
            <w:rFonts w:ascii="Georgia" w:hAnsi="Georgia"/>
          </w:rPr>
          <w:t>Summa link</w:t>
        </w:r>
      </w:hyperlink>
    </w:p>
    <w:p w:rsidR="00CA41B8" w:rsidRPr="00B732C4" w:rsidRDefault="00CA41B8" w:rsidP="007C2C1A">
      <w:pPr>
        <w:pStyle w:val="NoSpacing"/>
        <w:numPr>
          <w:ilvl w:val="0"/>
          <w:numId w:val="2"/>
        </w:numPr>
        <w:rPr>
          <w:rFonts w:ascii="Georgia" w:hAnsi="Georgia"/>
        </w:rPr>
      </w:pPr>
      <w:r w:rsidRPr="00B732C4">
        <w:rPr>
          <w:rFonts w:ascii="Georgia" w:hAnsi="Georgia"/>
        </w:rPr>
        <w:t xml:space="preserve">*Reinhold Niebuhr, “The Occasion and Forms of Sin,” in </w:t>
      </w:r>
      <w:r w:rsidRPr="00B732C4">
        <w:rPr>
          <w:rFonts w:ascii="Georgia" w:hAnsi="Georgia"/>
          <w:i/>
        </w:rPr>
        <w:t>Reinhold Niebuhr: Theologian of Public Life</w:t>
      </w:r>
      <w:r w:rsidRPr="00B732C4">
        <w:rPr>
          <w:rFonts w:ascii="Georgia" w:hAnsi="Georgia"/>
        </w:rPr>
        <w:t>, ed. Larry Rasmussen (Minneapolis: Fortress Press, 1991), 136-152</w:t>
      </w:r>
    </w:p>
    <w:p w:rsidR="00B50959" w:rsidRPr="00B732C4" w:rsidRDefault="007C2C1A" w:rsidP="00BA075A">
      <w:pPr>
        <w:pStyle w:val="NoSpacing"/>
        <w:numPr>
          <w:ilvl w:val="0"/>
          <w:numId w:val="2"/>
        </w:numPr>
        <w:rPr>
          <w:rFonts w:ascii="Georgia" w:hAnsi="Georgia"/>
        </w:rPr>
      </w:pPr>
      <w:r w:rsidRPr="00B732C4">
        <w:rPr>
          <w:rFonts w:ascii="Georgia" w:hAnsi="Georgia"/>
        </w:rPr>
        <w:t xml:space="preserve">*Reinhold Niebuhr, “Why the Christian Church is Not Pacifist” in </w:t>
      </w:r>
      <w:r w:rsidRPr="00B732C4">
        <w:rPr>
          <w:rFonts w:ascii="Georgia" w:hAnsi="Georgia"/>
          <w:i/>
        </w:rPr>
        <w:t>The Essential Reinhold Niebuhr</w:t>
      </w:r>
      <w:r w:rsidRPr="00B732C4">
        <w:rPr>
          <w:rFonts w:ascii="Georgia" w:hAnsi="Georgia"/>
        </w:rPr>
        <w:t>, ed. Robert McAfee Brown (New Haven, CT: Yale University Press, 1986), 102-119.</w:t>
      </w:r>
    </w:p>
    <w:p w:rsidR="00E3344D" w:rsidRPr="00B732C4" w:rsidRDefault="000C0DA2" w:rsidP="004D349A">
      <w:pPr>
        <w:pStyle w:val="Heading2"/>
        <w:rPr>
          <w:rFonts w:ascii="Georgia" w:hAnsi="Georgia"/>
          <w:sz w:val="22"/>
          <w:szCs w:val="22"/>
        </w:rPr>
      </w:pPr>
      <w:r w:rsidRPr="00B732C4">
        <w:rPr>
          <w:rFonts w:ascii="Georgia" w:hAnsi="Georgia"/>
          <w:sz w:val="22"/>
          <w:szCs w:val="22"/>
        </w:rPr>
        <w:t xml:space="preserve">3. </w:t>
      </w:r>
      <w:r w:rsidR="00234159" w:rsidRPr="00B732C4">
        <w:rPr>
          <w:rFonts w:ascii="Georgia" w:hAnsi="Georgia"/>
          <w:sz w:val="22"/>
          <w:szCs w:val="22"/>
        </w:rPr>
        <w:t xml:space="preserve">September 24: </w:t>
      </w:r>
      <w:r w:rsidRPr="00B732C4">
        <w:rPr>
          <w:rFonts w:ascii="Georgia" w:hAnsi="Georgia"/>
          <w:sz w:val="22"/>
          <w:szCs w:val="22"/>
        </w:rPr>
        <w:t>Politics of Jesus I</w:t>
      </w:r>
    </w:p>
    <w:p w:rsidR="000C0DA2" w:rsidRPr="00A23C84" w:rsidRDefault="000C0DA2" w:rsidP="00BA075A">
      <w:pPr>
        <w:pStyle w:val="NoSpacing"/>
        <w:numPr>
          <w:ilvl w:val="0"/>
          <w:numId w:val="7"/>
        </w:numPr>
        <w:rPr>
          <w:rFonts w:ascii="Georgia" w:hAnsi="Georgia"/>
        </w:rPr>
      </w:pPr>
      <w:r w:rsidRPr="00B732C4">
        <w:rPr>
          <w:rFonts w:ascii="Georgia" w:hAnsi="Georgia"/>
        </w:rPr>
        <w:t xml:space="preserve">Yoder, </w:t>
      </w:r>
      <w:r w:rsidRPr="00B732C4">
        <w:rPr>
          <w:rFonts w:ascii="Georgia" w:hAnsi="Georgia"/>
          <w:i/>
        </w:rPr>
        <w:t>Politics of Jesus</w:t>
      </w:r>
      <w:r w:rsidR="00915769" w:rsidRPr="00B732C4">
        <w:rPr>
          <w:rFonts w:ascii="Georgia" w:hAnsi="Georgia"/>
        </w:rPr>
        <w:t xml:space="preserve">, </w:t>
      </w:r>
      <w:r w:rsidR="001B4CA4" w:rsidRPr="00B732C4">
        <w:rPr>
          <w:rFonts w:ascii="Georgia" w:hAnsi="Georgia"/>
        </w:rPr>
        <w:t>chapters 1-7.</w:t>
      </w:r>
    </w:p>
    <w:p w:rsidR="00E3344D" w:rsidRPr="00B732C4" w:rsidRDefault="000C0DA2" w:rsidP="00B732C4">
      <w:pPr>
        <w:pStyle w:val="Heading2"/>
        <w:rPr>
          <w:rFonts w:ascii="Georgia" w:hAnsi="Georgia"/>
          <w:sz w:val="22"/>
          <w:szCs w:val="22"/>
        </w:rPr>
      </w:pPr>
      <w:r w:rsidRPr="00B732C4">
        <w:rPr>
          <w:rFonts w:ascii="Georgia" w:hAnsi="Georgia"/>
          <w:sz w:val="22"/>
          <w:szCs w:val="22"/>
        </w:rPr>
        <w:t xml:space="preserve">4. </w:t>
      </w:r>
      <w:r w:rsidR="00234159" w:rsidRPr="00B732C4">
        <w:rPr>
          <w:rFonts w:ascii="Georgia" w:hAnsi="Georgia"/>
          <w:sz w:val="22"/>
          <w:szCs w:val="22"/>
        </w:rPr>
        <w:t xml:space="preserve">October 1: </w:t>
      </w:r>
      <w:r w:rsidRPr="00B732C4">
        <w:rPr>
          <w:rFonts w:ascii="Georgia" w:hAnsi="Georgia"/>
          <w:sz w:val="22"/>
          <w:szCs w:val="22"/>
        </w:rPr>
        <w:t>Politics of Jesus II</w:t>
      </w:r>
    </w:p>
    <w:p w:rsidR="000C0DA2" w:rsidRPr="00B732C4" w:rsidRDefault="000C0DA2" w:rsidP="00B732C4">
      <w:pPr>
        <w:pStyle w:val="NoSpacing"/>
        <w:numPr>
          <w:ilvl w:val="0"/>
          <w:numId w:val="7"/>
        </w:numPr>
        <w:rPr>
          <w:rFonts w:ascii="Georgia" w:hAnsi="Georgia"/>
        </w:rPr>
      </w:pPr>
      <w:r w:rsidRPr="00B732C4">
        <w:rPr>
          <w:rFonts w:ascii="Georgia" w:hAnsi="Georgia"/>
        </w:rPr>
        <w:t xml:space="preserve">Yoder, </w:t>
      </w:r>
      <w:r w:rsidRPr="00B732C4">
        <w:rPr>
          <w:rFonts w:ascii="Georgia" w:hAnsi="Georgia"/>
          <w:i/>
        </w:rPr>
        <w:t>Politics of Jesus</w:t>
      </w:r>
      <w:r w:rsidR="00915769" w:rsidRPr="00B732C4">
        <w:rPr>
          <w:rFonts w:ascii="Georgia" w:hAnsi="Georgia"/>
        </w:rPr>
        <w:t xml:space="preserve">, </w:t>
      </w:r>
      <w:r w:rsidR="001B4CA4" w:rsidRPr="00B732C4">
        <w:rPr>
          <w:rFonts w:ascii="Georgia" w:hAnsi="Georgia"/>
        </w:rPr>
        <w:t>chapters 8-12.</w:t>
      </w:r>
    </w:p>
    <w:p w:rsidR="00E3344D" w:rsidRPr="00B732C4" w:rsidRDefault="00B2303C" w:rsidP="004D349A">
      <w:pPr>
        <w:pStyle w:val="Heading2"/>
        <w:rPr>
          <w:rFonts w:ascii="Georgia" w:hAnsi="Georgia"/>
          <w:sz w:val="22"/>
          <w:szCs w:val="22"/>
        </w:rPr>
      </w:pPr>
      <w:r w:rsidRPr="00B732C4">
        <w:rPr>
          <w:rFonts w:ascii="Georgia" w:hAnsi="Georgia"/>
          <w:sz w:val="22"/>
          <w:szCs w:val="22"/>
        </w:rPr>
        <w:t xml:space="preserve">5. </w:t>
      </w:r>
      <w:r w:rsidR="00234159" w:rsidRPr="00B732C4">
        <w:rPr>
          <w:rFonts w:ascii="Georgia" w:hAnsi="Georgia"/>
          <w:sz w:val="22"/>
          <w:szCs w:val="22"/>
        </w:rPr>
        <w:t xml:space="preserve">October 8: </w:t>
      </w:r>
      <w:r w:rsidRPr="00B732C4">
        <w:rPr>
          <w:rFonts w:ascii="Georgia" w:hAnsi="Georgia"/>
          <w:sz w:val="22"/>
          <w:szCs w:val="22"/>
        </w:rPr>
        <w:t>Development</w:t>
      </w:r>
      <w:r w:rsidR="000C0DA2" w:rsidRPr="00B732C4">
        <w:rPr>
          <w:rFonts w:ascii="Georgia" w:hAnsi="Georgia"/>
          <w:sz w:val="22"/>
          <w:szCs w:val="22"/>
        </w:rPr>
        <w:t xml:space="preserve"> I</w:t>
      </w:r>
    </w:p>
    <w:p w:rsidR="007C2C1A" w:rsidRPr="00B732C4" w:rsidRDefault="007C2C1A" w:rsidP="007C2C1A">
      <w:pPr>
        <w:pStyle w:val="NoSpacing"/>
        <w:numPr>
          <w:ilvl w:val="0"/>
          <w:numId w:val="3"/>
        </w:numPr>
        <w:rPr>
          <w:rFonts w:ascii="Georgia" w:hAnsi="Georgia"/>
        </w:rPr>
      </w:pPr>
      <w:r w:rsidRPr="00B732C4">
        <w:rPr>
          <w:rFonts w:ascii="Georgia" w:hAnsi="Georgia"/>
        </w:rPr>
        <w:t xml:space="preserve">*John Howard Yoder, “’See How They Go with Their Faces to the Sun’,” in </w:t>
      </w:r>
      <w:r w:rsidRPr="00B732C4">
        <w:rPr>
          <w:rFonts w:ascii="Georgia" w:hAnsi="Georgia"/>
          <w:i/>
        </w:rPr>
        <w:t>For the Nations</w:t>
      </w:r>
      <w:r w:rsidR="0088758C" w:rsidRPr="00B732C4">
        <w:rPr>
          <w:rFonts w:ascii="Georgia" w:hAnsi="Georgia"/>
          <w:i/>
        </w:rPr>
        <w:t xml:space="preserve"> </w:t>
      </w:r>
      <w:r w:rsidR="0088758C" w:rsidRPr="00B732C4">
        <w:rPr>
          <w:rFonts w:ascii="Georgia" w:hAnsi="Georgia"/>
        </w:rPr>
        <w:t xml:space="preserve">(Eugene, OR: </w:t>
      </w:r>
      <w:proofErr w:type="spellStart"/>
      <w:r w:rsidR="0088758C" w:rsidRPr="00B732C4">
        <w:rPr>
          <w:rFonts w:ascii="Georgia" w:hAnsi="Georgia"/>
        </w:rPr>
        <w:t>Wipf</w:t>
      </w:r>
      <w:proofErr w:type="spellEnd"/>
      <w:r w:rsidR="0088758C" w:rsidRPr="00B732C4">
        <w:rPr>
          <w:rFonts w:ascii="Georgia" w:hAnsi="Georgia"/>
        </w:rPr>
        <w:t xml:space="preserve"> and Stock, 2002), </w:t>
      </w:r>
      <w:r w:rsidRPr="00B732C4">
        <w:rPr>
          <w:rFonts w:ascii="Georgia" w:hAnsi="Georgia"/>
        </w:rPr>
        <w:t>51-78.</w:t>
      </w:r>
    </w:p>
    <w:p w:rsidR="00643C67" w:rsidRPr="00B732C4" w:rsidRDefault="00176C3C" w:rsidP="00BA075A">
      <w:pPr>
        <w:pStyle w:val="NoSpacing"/>
        <w:numPr>
          <w:ilvl w:val="0"/>
          <w:numId w:val="3"/>
        </w:numPr>
        <w:rPr>
          <w:rFonts w:ascii="Georgia" w:hAnsi="Georgia"/>
        </w:rPr>
      </w:pPr>
      <w:r w:rsidRPr="00B732C4">
        <w:rPr>
          <w:rFonts w:ascii="Georgia" w:hAnsi="Georgia"/>
        </w:rPr>
        <w:t>*</w:t>
      </w:r>
      <w:r w:rsidR="007C2C1A" w:rsidRPr="00B732C4">
        <w:rPr>
          <w:rFonts w:ascii="Georgia" w:hAnsi="Georgia"/>
        </w:rPr>
        <w:t xml:space="preserve">John Howard Yoder, “Sacrament as Social Process: Christ the Transformer of Culture,” </w:t>
      </w:r>
      <w:r w:rsidR="007C2C1A" w:rsidRPr="00B732C4">
        <w:rPr>
          <w:rFonts w:ascii="Georgia" w:hAnsi="Georgia"/>
          <w:i/>
        </w:rPr>
        <w:t>Theology Today</w:t>
      </w:r>
      <w:r w:rsidR="007C2C1A" w:rsidRPr="00B732C4">
        <w:rPr>
          <w:rFonts w:ascii="Georgia" w:hAnsi="Georgia"/>
        </w:rPr>
        <w:t xml:space="preserve"> 48 (1991): 33-44.</w:t>
      </w:r>
    </w:p>
    <w:p w:rsidR="004770AA" w:rsidRPr="00B732C4" w:rsidRDefault="001B4CA4" w:rsidP="00BA075A">
      <w:pPr>
        <w:pStyle w:val="NoSpacing"/>
        <w:numPr>
          <w:ilvl w:val="0"/>
          <w:numId w:val="3"/>
        </w:numPr>
        <w:rPr>
          <w:rFonts w:ascii="Georgia" w:hAnsi="Georgia"/>
        </w:rPr>
      </w:pPr>
      <w:r w:rsidRPr="00B732C4">
        <w:rPr>
          <w:rFonts w:ascii="Georgia" w:hAnsi="Georgia"/>
        </w:rPr>
        <w:t>*</w:t>
      </w:r>
      <w:r w:rsidR="00643C67" w:rsidRPr="00B732C4">
        <w:rPr>
          <w:rFonts w:ascii="Georgia" w:hAnsi="Georgia"/>
        </w:rPr>
        <w:t xml:space="preserve">Stanley </w:t>
      </w:r>
      <w:proofErr w:type="spellStart"/>
      <w:r w:rsidR="004770AA" w:rsidRPr="00B732C4">
        <w:rPr>
          <w:rFonts w:ascii="Georgia" w:hAnsi="Georgia"/>
        </w:rPr>
        <w:t>Hauerwas</w:t>
      </w:r>
      <w:proofErr w:type="spellEnd"/>
      <w:r w:rsidR="004770AA" w:rsidRPr="00B732C4">
        <w:rPr>
          <w:rFonts w:ascii="Georgia" w:hAnsi="Georgia"/>
        </w:rPr>
        <w:t>, “</w:t>
      </w:r>
      <w:r w:rsidR="00CB4034" w:rsidRPr="00B732C4">
        <w:rPr>
          <w:rFonts w:ascii="Georgia" w:hAnsi="Georgia"/>
        </w:rPr>
        <w:t xml:space="preserve">The Politics of Justice: Why Justice is Bad Idea for Christians,” in </w:t>
      </w:r>
      <w:r w:rsidR="00CB4034" w:rsidRPr="00B732C4">
        <w:rPr>
          <w:rFonts w:ascii="Georgia" w:hAnsi="Georgia"/>
          <w:i/>
        </w:rPr>
        <w:t>After Christendom</w:t>
      </w:r>
      <w:r w:rsidR="0088758C" w:rsidRPr="00B732C4">
        <w:rPr>
          <w:rFonts w:ascii="Georgia" w:hAnsi="Georgia"/>
        </w:rPr>
        <w:t xml:space="preserve"> (Nashville: Abingdon Press, 1991), </w:t>
      </w:r>
      <w:r w:rsidR="00CB4034" w:rsidRPr="00B732C4">
        <w:rPr>
          <w:rFonts w:ascii="Georgia" w:hAnsi="Georgia"/>
        </w:rPr>
        <w:t>45-68.</w:t>
      </w:r>
    </w:p>
    <w:p w:rsidR="00CB4034" w:rsidRPr="00B732C4" w:rsidRDefault="001B4CA4" w:rsidP="00BA075A">
      <w:pPr>
        <w:pStyle w:val="NoSpacing"/>
        <w:numPr>
          <w:ilvl w:val="0"/>
          <w:numId w:val="3"/>
        </w:numPr>
        <w:rPr>
          <w:rFonts w:ascii="Georgia" w:hAnsi="Georgia"/>
        </w:rPr>
      </w:pPr>
      <w:r w:rsidRPr="00B732C4">
        <w:rPr>
          <w:rFonts w:ascii="Georgia" w:hAnsi="Georgia"/>
        </w:rPr>
        <w:t>*</w:t>
      </w:r>
      <w:r w:rsidR="00CB4034" w:rsidRPr="00B732C4">
        <w:rPr>
          <w:rFonts w:ascii="Georgia" w:hAnsi="Georgia"/>
        </w:rPr>
        <w:t xml:space="preserve">Stanley </w:t>
      </w:r>
      <w:proofErr w:type="spellStart"/>
      <w:r w:rsidR="00CB4034" w:rsidRPr="00B732C4">
        <w:rPr>
          <w:rFonts w:ascii="Georgia" w:hAnsi="Georgia"/>
        </w:rPr>
        <w:t>Hauerwas</w:t>
      </w:r>
      <w:proofErr w:type="spellEnd"/>
      <w:r w:rsidR="00CB4034" w:rsidRPr="00B732C4">
        <w:rPr>
          <w:rFonts w:ascii="Georgia" w:hAnsi="Georgia"/>
        </w:rPr>
        <w:t xml:space="preserve">, “Reforming Christian Social Ethics: Ten Theses (1981),” in </w:t>
      </w:r>
      <w:proofErr w:type="gramStart"/>
      <w:r w:rsidR="00CB4034" w:rsidRPr="00B732C4">
        <w:rPr>
          <w:rFonts w:ascii="Georgia" w:hAnsi="Georgia"/>
          <w:i/>
        </w:rPr>
        <w:t>The</w:t>
      </w:r>
      <w:proofErr w:type="gramEnd"/>
      <w:r w:rsidR="00CB4034" w:rsidRPr="00B732C4">
        <w:rPr>
          <w:rFonts w:ascii="Georgia" w:hAnsi="Georgia"/>
          <w:i/>
        </w:rPr>
        <w:t xml:space="preserve"> </w:t>
      </w:r>
      <w:proofErr w:type="spellStart"/>
      <w:r w:rsidR="00CB4034" w:rsidRPr="00B732C4">
        <w:rPr>
          <w:rFonts w:ascii="Georgia" w:hAnsi="Georgia"/>
          <w:i/>
        </w:rPr>
        <w:t>Hauerwas</w:t>
      </w:r>
      <w:proofErr w:type="spellEnd"/>
      <w:r w:rsidR="00CB4034" w:rsidRPr="00B732C4">
        <w:rPr>
          <w:rFonts w:ascii="Georgia" w:hAnsi="Georgia"/>
          <w:i/>
        </w:rPr>
        <w:t xml:space="preserve"> Reader</w:t>
      </w:r>
      <w:r w:rsidR="0088758C" w:rsidRPr="00B732C4">
        <w:rPr>
          <w:rFonts w:ascii="Georgia" w:hAnsi="Georgia"/>
        </w:rPr>
        <w:t xml:space="preserve"> (Durham, NC: Duke University Press, 2001), </w:t>
      </w:r>
      <w:r w:rsidR="00CB4034" w:rsidRPr="00B732C4">
        <w:rPr>
          <w:rFonts w:ascii="Georgia" w:hAnsi="Georgia"/>
        </w:rPr>
        <w:t>111-115</w:t>
      </w:r>
      <w:r w:rsidR="0033491F" w:rsidRPr="00B732C4">
        <w:rPr>
          <w:rFonts w:ascii="Georgia" w:hAnsi="Georgia"/>
        </w:rPr>
        <w:t>.</w:t>
      </w:r>
    </w:p>
    <w:p w:rsidR="000057CE" w:rsidRPr="00B732C4" w:rsidRDefault="00FC7A5E" w:rsidP="000057CE">
      <w:pPr>
        <w:pStyle w:val="NoSpacing"/>
        <w:numPr>
          <w:ilvl w:val="0"/>
          <w:numId w:val="3"/>
        </w:numPr>
        <w:rPr>
          <w:rFonts w:ascii="Georgia" w:hAnsi="Georgia"/>
        </w:rPr>
      </w:pPr>
      <w:r w:rsidRPr="00B732C4">
        <w:rPr>
          <w:rFonts w:ascii="Georgia" w:hAnsi="Georgia"/>
        </w:rPr>
        <w:t>*</w:t>
      </w:r>
      <w:r w:rsidR="000057CE" w:rsidRPr="00B732C4">
        <w:rPr>
          <w:rFonts w:ascii="Georgia" w:hAnsi="Georgia"/>
        </w:rPr>
        <w:t xml:space="preserve">Thomas R. Yoder Neufeld, “Resistance and Nonresistance: The Two Legs of a Biblical Peace Stance,” </w:t>
      </w:r>
      <w:r w:rsidR="000057CE" w:rsidRPr="00B732C4">
        <w:rPr>
          <w:rFonts w:ascii="Georgia" w:hAnsi="Georgia"/>
          <w:i/>
        </w:rPr>
        <w:t>The Conrad Grebel Review</w:t>
      </w:r>
      <w:r w:rsidR="000057CE" w:rsidRPr="00B732C4">
        <w:rPr>
          <w:rFonts w:ascii="Georgia" w:hAnsi="Georgia"/>
        </w:rPr>
        <w:t xml:space="preserve"> 21,</w:t>
      </w:r>
      <w:r w:rsidR="00FB71EF" w:rsidRPr="00B732C4">
        <w:rPr>
          <w:rFonts w:ascii="Georgia" w:hAnsi="Georgia"/>
        </w:rPr>
        <w:t xml:space="preserve"> no 1 (Winter 2003): 56-81.</w:t>
      </w:r>
    </w:p>
    <w:p w:rsidR="004770AA" w:rsidRPr="00B732C4" w:rsidRDefault="004770AA" w:rsidP="00BA075A">
      <w:pPr>
        <w:pStyle w:val="NoSpacing"/>
        <w:rPr>
          <w:rFonts w:ascii="Georgia" w:hAnsi="Georgia"/>
        </w:rPr>
      </w:pPr>
    </w:p>
    <w:p w:rsidR="00234159" w:rsidRPr="00B732C4" w:rsidRDefault="00B732C4" w:rsidP="00BA075A">
      <w:pPr>
        <w:pStyle w:val="NoSpacing"/>
        <w:rPr>
          <w:rFonts w:ascii="Georgia" w:hAnsi="Georgia"/>
        </w:rPr>
      </w:pPr>
      <w:r>
        <w:rPr>
          <w:rFonts w:ascii="Georgia" w:hAnsi="Georgia"/>
        </w:rPr>
        <w:t>[Reading week]</w:t>
      </w:r>
    </w:p>
    <w:p w:rsidR="00E8708B" w:rsidRPr="00B732C4" w:rsidRDefault="004B0B7A" w:rsidP="004D349A">
      <w:pPr>
        <w:pStyle w:val="Heading2"/>
        <w:rPr>
          <w:rFonts w:ascii="Georgia" w:hAnsi="Georgia"/>
          <w:sz w:val="22"/>
          <w:szCs w:val="22"/>
        </w:rPr>
      </w:pPr>
      <w:r w:rsidRPr="00B732C4">
        <w:rPr>
          <w:rFonts w:ascii="Georgia" w:hAnsi="Georgia"/>
          <w:sz w:val="22"/>
          <w:szCs w:val="22"/>
        </w:rPr>
        <w:t xml:space="preserve">6. </w:t>
      </w:r>
      <w:r w:rsidR="00234159" w:rsidRPr="00B732C4">
        <w:rPr>
          <w:rFonts w:ascii="Georgia" w:hAnsi="Georgia"/>
          <w:sz w:val="22"/>
          <w:szCs w:val="22"/>
        </w:rPr>
        <w:t xml:space="preserve">October 22: </w:t>
      </w:r>
      <w:r w:rsidR="000C0DA2" w:rsidRPr="00B732C4">
        <w:rPr>
          <w:rFonts w:ascii="Georgia" w:hAnsi="Georgia"/>
          <w:sz w:val="22"/>
          <w:szCs w:val="22"/>
        </w:rPr>
        <w:t>Development II</w:t>
      </w:r>
    </w:p>
    <w:p w:rsidR="00E8708B" w:rsidRPr="00B732C4" w:rsidRDefault="00E8708B" w:rsidP="00BA075A">
      <w:pPr>
        <w:pStyle w:val="NoSpacing"/>
        <w:numPr>
          <w:ilvl w:val="0"/>
          <w:numId w:val="6"/>
        </w:numPr>
        <w:rPr>
          <w:rFonts w:ascii="Georgia" w:hAnsi="Georgia"/>
        </w:rPr>
      </w:pPr>
      <w:r w:rsidRPr="00B732C4">
        <w:rPr>
          <w:rFonts w:ascii="Georgia" w:hAnsi="Georgia"/>
        </w:rPr>
        <w:t>*</w:t>
      </w:r>
      <w:r w:rsidR="00CB4034" w:rsidRPr="00B732C4">
        <w:rPr>
          <w:rFonts w:ascii="Georgia" w:hAnsi="Georgia"/>
        </w:rPr>
        <w:t>Duane</w:t>
      </w:r>
      <w:r w:rsidR="00FC2841" w:rsidRPr="00B732C4">
        <w:rPr>
          <w:rFonts w:ascii="Georgia" w:hAnsi="Georgia"/>
        </w:rPr>
        <w:t xml:space="preserve"> K.</w:t>
      </w:r>
      <w:r w:rsidR="00CB4034" w:rsidRPr="00B732C4">
        <w:rPr>
          <w:rFonts w:ascii="Georgia" w:hAnsi="Georgia"/>
        </w:rPr>
        <w:t xml:space="preserve"> Friesen</w:t>
      </w:r>
      <w:r w:rsidR="00FC2841" w:rsidRPr="00B732C4">
        <w:rPr>
          <w:rFonts w:ascii="Georgia" w:hAnsi="Georgia"/>
        </w:rPr>
        <w:t xml:space="preserve">, “The Dynamics of Dual Citizenship,” in </w:t>
      </w:r>
      <w:r w:rsidR="00FC2841" w:rsidRPr="00B732C4">
        <w:rPr>
          <w:rFonts w:ascii="Georgia" w:hAnsi="Georgia"/>
          <w:i/>
        </w:rPr>
        <w:t>Artists, C</w:t>
      </w:r>
      <w:r w:rsidR="002A67AD" w:rsidRPr="00B732C4">
        <w:rPr>
          <w:rFonts w:ascii="Georgia" w:hAnsi="Georgia"/>
          <w:i/>
        </w:rPr>
        <w:t>itizens, Philosophers</w:t>
      </w:r>
      <w:r w:rsidR="00E672CD" w:rsidRPr="00B732C4">
        <w:rPr>
          <w:rFonts w:ascii="Georgia" w:hAnsi="Georgia"/>
        </w:rPr>
        <w:t xml:space="preserve"> (</w:t>
      </w:r>
      <w:proofErr w:type="spellStart"/>
      <w:r w:rsidR="00E672CD" w:rsidRPr="00B732C4">
        <w:rPr>
          <w:rFonts w:ascii="Georgia" w:hAnsi="Georgia"/>
        </w:rPr>
        <w:t>Sc</w:t>
      </w:r>
      <w:r w:rsidR="0088758C" w:rsidRPr="00B732C4">
        <w:rPr>
          <w:rFonts w:ascii="Georgia" w:hAnsi="Georgia"/>
        </w:rPr>
        <w:t>ottdale</w:t>
      </w:r>
      <w:proofErr w:type="spellEnd"/>
      <w:r w:rsidR="0088758C" w:rsidRPr="00B732C4">
        <w:rPr>
          <w:rFonts w:ascii="Georgia" w:hAnsi="Georgia"/>
        </w:rPr>
        <w:t>, PA: Herald Press, 2000)</w:t>
      </w:r>
      <w:r w:rsidR="00E672CD" w:rsidRPr="00B732C4">
        <w:rPr>
          <w:rFonts w:ascii="Georgia" w:hAnsi="Georgia"/>
        </w:rPr>
        <w:t>,</w:t>
      </w:r>
      <w:r w:rsidR="00FC2841" w:rsidRPr="00B732C4">
        <w:rPr>
          <w:rFonts w:ascii="Georgia" w:hAnsi="Georgia"/>
        </w:rPr>
        <w:t xml:space="preserve"> </w:t>
      </w:r>
      <w:r w:rsidR="009261E2" w:rsidRPr="00B732C4">
        <w:rPr>
          <w:rFonts w:ascii="Georgia" w:hAnsi="Georgia"/>
        </w:rPr>
        <w:t>210-251</w:t>
      </w:r>
      <w:r w:rsidR="00FC2841" w:rsidRPr="00B732C4">
        <w:rPr>
          <w:rFonts w:ascii="Georgia" w:hAnsi="Georgia"/>
        </w:rPr>
        <w:t>.</w:t>
      </w:r>
    </w:p>
    <w:p w:rsidR="00034271" w:rsidRPr="00B732C4" w:rsidRDefault="00034271" w:rsidP="00034271">
      <w:pPr>
        <w:pStyle w:val="NoSpacing"/>
        <w:numPr>
          <w:ilvl w:val="0"/>
          <w:numId w:val="6"/>
        </w:numPr>
        <w:rPr>
          <w:rFonts w:ascii="Georgia" w:hAnsi="Georgia"/>
        </w:rPr>
      </w:pPr>
      <w:r w:rsidRPr="00B732C4">
        <w:rPr>
          <w:rFonts w:ascii="Georgia" w:hAnsi="Georgia"/>
        </w:rPr>
        <w:t xml:space="preserve">*Lydia Neufeld Harder, “Seeking Wisdom in the Face of Foolishness: Toward a Robust Peace Theology,” in </w:t>
      </w:r>
      <w:r w:rsidRPr="00B732C4">
        <w:rPr>
          <w:rFonts w:ascii="Georgia" w:hAnsi="Georgia"/>
          <w:i/>
        </w:rPr>
        <w:t>At Peace and Unafraid</w:t>
      </w:r>
      <w:r w:rsidRPr="00B732C4">
        <w:rPr>
          <w:rFonts w:ascii="Georgia" w:hAnsi="Georgia"/>
        </w:rPr>
        <w:t>,</w:t>
      </w:r>
      <w:r w:rsidR="0088758C" w:rsidRPr="00B732C4">
        <w:rPr>
          <w:rFonts w:ascii="Georgia" w:hAnsi="Georgia"/>
        </w:rPr>
        <w:t xml:space="preserve"> ed. Duane Friesen and Gerald </w:t>
      </w:r>
      <w:proofErr w:type="spellStart"/>
      <w:r w:rsidR="0088758C" w:rsidRPr="00B732C4">
        <w:rPr>
          <w:rFonts w:ascii="Georgia" w:hAnsi="Georgia"/>
        </w:rPr>
        <w:t>Schlabach</w:t>
      </w:r>
      <w:proofErr w:type="spellEnd"/>
      <w:r w:rsidR="0088758C" w:rsidRPr="00B732C4">
        <w:rPr>
          <w:rFonts w:ascii="Georgia" w:hAnsi="Georgia"/>
        </w:rPr>
        <w:t xml:space="preserve"> (</w:t>
      </w:r>
      <w:proofErr w:type="spellStart"/>
      <w:r w:rsidR="0088758C" w:rsidRPr="00B732C4">
        <w:rPr>
          <w:rFonts w:ascii="Georgia" w:hAnsi="Georgia"/>
        </w:rPr>
        <w:t>Scottdale</w:t>
      </w:r>
      <w:proofErr w:type="spellEnd"/>
      <w:r w:rsidR="0088758C" w:rsidRPr="00B732C4">
        <w:rPr>
          <w:rFonts w:ascii="Georgia" w:hAnsi="Georgia"/>
        </w:rPr>
        <w:t xml:space="preserve">, PA: Herald Press, 2005), </w:t>
      </w:r>
      <w:r w:rsidRPr="00B732C4">
        <w:rPr>
          <w:rFonts w:ascii="Georgia" w:hAnsi="Georgia"/>
        </w:rPr>
        <w:t>117-152.</w:t>
      </w:r>
    </w:p>
    <w:p w:rsidR="00034271" w:rsidRPr="00B732C4" w:rsidRDefault="001F3B75" w:rsidP="00034271">
      <w:pPr>
        <w:pStyle w:val="NoSpacing"/>
        <w:numPr>
          <w:ilvl w:val="0"/>
          <w:numId w:val="6"/>
        </w:numPr>
        <w:rPr>
          <w:rFonts w:ascii="Georgia" w:hAnsi="Georgia"/>
        </w:rPr>
      </w:pPr>
      <w:r w:rsidRPr="00B732C4">
        <w:rPr>
          <w:rFonts w:ascii="Georgia" w:hAnsi="Georgia"/>
        </w:rPr>
        <w:t>Ron Sider</w:t>
      </w:r>
      <w:r w:rsidR="0091762E" w:rsidRPr="00B732C4">
        <w:rPr>
          <w:rFonts w:ascii="Georgia" w:hAnsi="Georgia"/>
        </w:rPr>
        <w:t>, “God’s People Reconciling,”</w:t>
      </w:r>
      <w:r w:rsidR="00FC2841" w:rsidRPr="00B732C4">
        <w:rPr>
          <w:rFonts w:ascii="Georgia" w:hAnsi="Georgia"/>
        </w:rPr>
        <w:t xml:space="preserve"> (1984),</w:t>
      </w:r>
      <w:r w:rsidR="0091762E" w:rsidRPr="00B732C4">
        <w:rPr>
          <w:rFonts w:ascii="Georgia" w:hAnsi="Georgia"/>
        </w:rPr>
        <w:t xml:space="preserve"> </w:t>
      </w:r>
      <w:hyperlink r:id="rId10" w:history="1">
        <w:r w:rsidR="00A23C84">
          <w:rPr>
            <w:rStyle w:val="Hyperlink"/>
            <w:rFonts w:ascii="Georgia" w:hAnsi="Georgia"/>
          </w:rPr>
          <w:t>Sider speech link</w:t>
        </w:r>
      </w:hyperlink>
    </w:p>
    <w:p w:rsidR="001F3B75" w:rsidRPr="00B732C4" w:rsidRDefault="00677032" w:rsidP="00BA075A">
      <w:pPr>
        <w:pStyle w:val="NoSpacing"/>
        <w:numPr>
          <w:ilvl w:val="0"/>
          <w:numId w:val="6"/>
        </w:numPr>
        <w:rPr>
          <w:rFonts w:ascii="Georgia" w:hAnsi="Georgia"/>
        </w:rPr>
      </w:pPr>
      <w:r w:rsidRPr="00B732C4">
        <w:rPr>
          <w:rFonts w:ascii="Georgia" w:hAnsi="Georgia"/>
        </w:rPr>
        <w:t>*</w:t>
      </w:r>
      <w:r w:rsidR="00FC2841" w:rsidRPr="00B732C4">
        <w:rPr>
          <w:rFonts w:ascii="Georgia" w:hAnsi="Georgia"/>
        </w:rPr>
        <w:t xml:space="preserve">Cynthia Hess, “Traumatic Violence and Christian Peacemaking,” </w:t>
      </w:r>
      <w:r w:rsidR="00FC2841" w:rsidRPr="00B732C4">
        <w:rPr>
          <w:rFonts w:ascii="Georgia" w:hAnsi="Georgia"/>
          <w:i/>
        </w:rPr>
        <w:t>Brethren Life and Thought</w:t>
      </w:r>
      <w:r w:rsidR="00FC2841" w:rsidRPr="00B732C4">
        <w:rPr>
          <w:rFonts w:ascii="Georgia" w:hAnsi="Georgia"/>
        </w:rPr>
        <w:t xml:space="preserve"> 51, </w:t>
      </w:r>
      <w:r w:rsidR="00FB71EF" w:rsidRPr="00B732C4">
        <w:rPr>
          <w:rFonts w:ascii="Georgia" w:hAnsi="Georgia"/>
        </w:rPr>
        <w:t xml:space="preserve">no. 4 (Fall 2006): 201-220. </w:t>
      </w:r>
    </w:p>
    <w:p w:rsidR="00B2303C" w:rsidRPr="00B732C4" w:rsidRDefault="001F3B75" w:rsidP="004D349A">
      <w:pPr>
        <w:pStyle w:val="Heading2"/>
        <w:rPr>
          <w:rFonts w:ascii="Georgia" w:hAnsi="Georgia"/>
          <w:sz w:val="22"/>
          <w:szCs w:val="22"/>
        </w:rPr>
      </w:pPr>
      <w:r w:rsidRPr="00B732C4">
        <w:rPr>
          <w:rFonts w:ascii="Georgia" w:hAnsi="Georgia"/>
          <w:sz w:val="22"/>
          <w:szCs w:val="22"/>
        </w:rPr>
        <w:t>7</w:t>
      </w:r>
      <w:r w:rsidR="00E3344D" w:rsidRPr="00B732C4">
        <w:rPr>
          <w:rFonts w:ascii="Georgia" w:hAnsi="Georgia"/>
          <w:sz w:val="22"/>
          <w:szCs w:val="22"/>
        </w:rPr>
        <w:t xml:space="preserve">. </w:t>
      </w:r>
      <w:r w:rsidR="00234159" w:rsidRPr="00B732C4">
        <w:rPr>
          <w:rFonts w:ascii="Georgia" w:hAnsi="Georgia"/>
          <w:sz w:val="22"/>
          <w:szCs w:val="22"/>
        </w:rPr>
        <w:t xml:space="preserve">October 29: </w:t>
      </w:r>
      <w:r w:rsidR="002D7D62" w:rsidRPr="00B732C4">
        <w:rPr>
          <w:rFonts w:ascii="Georgia" w:hAnsi="Georgia"/>
          <w:sz w:val="22"/>
          <w:szCs w:val="22"/>
        </w:rPr>
        <w:t xml:space="preserve">Failure and </w:t>
      </w:r>
      <w:r w:rsidR="00234159" w:rsidRPr="00B732C4">
        <w:rPr>
          <w:rFonts w:ascii="Georgia" w:hAnsi="Georgia"/>
          <w:sz w:val="22"/>
          <w:szCs w:val="22"/>
        </w:rPr>
        <w:t>Critique</w:t>
      </w:r>
    </w:p>
    <w:p w:rsidR="0033491F" w:rsidRPr="00B732C4" w:rsidRDefault="0033491F" w:rsidP="0033491F">
      <w:pPr>
        <w:pStyle w:val="NoSpacing"/>
        <w:numPr>
          <w:ilvl w:val="0"/>
          <w:numId w:val="4"/>
        </w:numPr>
        <w:rPr>
          <w:rFonts w:ascii="Georgia" w:hAnsi="Georgia"/>
        </w:rPr>
      </w:pPr>
      <w:r w:rsidRPr="00B732C4">
        <w:rPr>
          <w:rFonts w:ascii="Georgia" w:hAnsi="Georgia"/>
        </w:rPr>
        <w:t xml:space="preserve">Rachel </w:t>
      </w:r>
      <w:proofErr w:type="spellStart"/>
      <w:r w:rsidRPr="00B732C4">
        <w:rPr>
          <w:rFonts w:ascii="Georgia" w:hAnsi="Georgia"/>
        </w:rPr>
        <w:t>Waltner</w:t>
      </w:r>
      <w:proofErr w:type="spellEnd"/>
      <w:r w:rsidRPr="00B732C4">
        <w:rPr>
          <w:rFonts w:ascii="Georgia" w:hAnsi="Georgia"/>
        </w:rPr>
        <w:t xml:space="preserve"> </w:t>
      </w:r>
      <w:proofErr w:type="spellStart"/>
      <w:r w:rsidRPr="00B732C4">
        <w:rPr>
          <w:rFonts w:ascii="Georgia" w:hAnsi="Georgia"/>
        </w:rPr>
        <w:t>Goossen</w:t>
      </w:r>
      <w:proofErr w:type="spellEnd"/>
      <w:r w:rsidRPr="00B732C4">
        <w:rPr>
          <w:rFonts w:ascii="Georgia" w:hAnsi="Georgia"/>
        </w:rPr>
        <w:t>, “</w:t>
      </w:r>
      <w:r w:rsidR="00234159" w:rsidRPr="00B732C4">
        <w:rPr>
          <w:rFonts w:ascii="Georgia" w:hAnsi="Georgia"/>
        </w:rPr>
        <w:t>The Failure to Bind and Loose: Responses to Yoder’s Sexual A</w:t>
      </w:r>
      <w:r w:rsidRPr="00B732C4">
        <w:rPr>
          <w:rFonts w:ascii="Georgia" w:hAnsi="Georgia"/>
        </w:rPr>
        <w:t xml:space="preserve">buse,” </w:t>
      </w:r>
      <w:r w:rsidRPr="00B732C4">
        <w:rPr>
          <w:rFonts w:ascii="Georgia" w:hAnsi="Georgia"/>
          <w:i/>
        </w:rPr>
        <w:t>The Mennonite</w:t>
      </w:r>
      <w:r w:rsidR="000057CE" w:rsidRPr="00B732C4">
        <w:rPr>
          <w:rFonts w:ascii="Georgia" w:hAnsi="Georgia"/>
        </w:rPr>
        <w:t>, January 2, 2015</w:t>
      </w:r>
      <w:r w:rsidRPr="00B732C4">
        <w:rPr>
          <w:rFonts w:ascii="Georgia" w:hAnsi="Georgia"/>
        </w:rPr>
        <w:t xml:space="preserve">, </w:t>
      </w:r>
      <w:hyperlink r:id="rId11" w:history="1">
        <w:proofErr w:type="spellStart"/>
        <w:r w:rsidR="00A23C84">
          <w:rPr>
            <w:rStyle w:val="Hyperlink"/>
            <w:rFonts w:ascii="Georgia" w:hAnsi="Georgia"/>
          </w:rPr>
          <w:t>Waltner</w:t>
        </w:r>
        <w:proofErr w:type="spellEnd"/>
        <w:r w:rsidR="00A23C84">
          <w:rPr>
            <w:rStyle w:val="Hyperlink"/>
            <w:rFonts w:ascii="Georgia" w:hAnsi="Georgia"/>
          </w:rPr>
          <w:t xml:space="preserve"> </w:t>
        </w:r>
        <w:proofErr w:type="spellStart"/>
        <w:r w:rsidR="00A23C84">
          <w:rPr>
            <w:rStyle w:val="Hyperlink"/>
            <w:rFonts w:ascii="Georgia" w:hAnsi="Georgia"/>
          </w:rPr>
          <w:t>Goossen</w:t>
        </w:r>
        <w:proofErr w:type="spellEnd"/>
        <w:r w:rsidR="00A23C84">
          <w:rPr>
            <w:rStyle w:val="Hyperlink"/>
            <w:rFonts w:ascii="Georgia" w:hAnsi="Georgia"/>
          </w:rPr>
          <w:t xml:space="preserve"> article link</w:t>
        </w:r>
      </w:hyperlink>
    </w:p>
    <w:p w:rsidR="0033491F" w:rsidRPr="00B732C4" w:rsidRDefault="0033491F" w:rsidP="00E8708B">
      <w:pPr>
        <w:pStyle w:val="NoSpacing"/>
        <w:numPr>
          <w:ilvl w:val="0"/>
          <w:numId w:val="4"/>
        </w:numPr>
        <w:rPr>
          <w:rFonts w:ascii="Georgia" w:hAnsi="Georgia"/>
        </w:rPr>
      </w:pPr>
      <w:r w:rsidRPr="00B732C4">
        <w:rPr>
          <w:rFonts w:ascii="Georgia" w:hAnsi="Georgia"/>
        </w:rPr>
        <w:t xml:space="preserve">David C. Cramer et al., “Theology and Misconduct: The Case of John Howard Yoder,” </w:t>
      </w:r>
      <w:r w:rsidRPr="00B732C4">
        <w:rPr>
          <w:rFonts w:ascii="Georgia" w:hAnsi="Georgia"/>
          <w:i/>
        </w:rPr>
        <w:t>The Christian Century</w:t>
      </w:r>
      <w:r w:rsidRPr="00B732C4">
        <w:rPr>
          <w:rFonts w:ascii="Georgia" w:hAnsi="Georgia"/>
        </w:rPr>
        <w:t>, August 20</w:t>
      </w:r>
      <w:r w:rsidR="000057CE" w:rsidRPr="00B732C4">
        <w:rPr>
          <w:rFonts w:ascii="Georgia" w:hAnsi="Georgia"/>
        </w:rPr>
        <w:t>,</w:t>
      </w:r>
      <w:r w:rsidRPr="00B732C4">
        <w:rPr>
          <w:rFonts w:ascii="Georgia" w:hAnsi="Georgia"/>
        </w:rPr>
        <w:t xml:space="preserve"> 2014, </w:t>
      </w:r>
      <w:hyperlink r:id="rId12" w:history="1">
        <w:r w:rsidR="00A23C84">
          <w:rPr>
            <w:rStyle w:val="Hyperlink"/>
            <w:rFonts w:ascii="Georgia" w:hAnsi="Georgia"/>
          </w:rPr>
          <w:t>Cramer article link</w:t>
        </w:r>
      </w:hyperlink>
    </w:p>
    <w:p w:rsidR="00E8708B" w:rsidRPr="00B732C4" w:rsidRDefault="00E8708B" w:rsidP="00E8708B">
      <w:pPr>
        <w:pStyle w:val="NoSpacing"/>
        <w:numPr>
          <w:ilvl w:val="0"/>
          <w:numId w:val="4"/>
        </w:numPr>
        <w:rPr>
          <w:rFonts w:ascii="Georgia" w:hAnsi="Georgia"/>
        </w:rPr>
      </w:pPr>
      <w:r w:rsidRPr="00B732C4">
        <w:rPr>
          <w:rFonts w:ascii="Georgia" w:hAnsi="Georgia"/>
        </w:rPr>
        <w:t xml:space="preserve">*Carol Penner, “Content to Suffer: An Exploration of Mennonite Theology from the Context of Violence Against Women,” in </w:t>
      </w:r>
      <w:r w:rsidRPr="00B732C4">
        <w:rPr>
          <w:rFonts w:ascii="Georgia" w:hAnsi="Georgia"/>
          <w:i/>
        </w:rPr>
        <w:t>Peace Theology and Violence Against Women</w:t>
      </w:r>
      <w:r w:rsidRPr="00B732C4">
        <w:rPr>
          <w:rFonts w:ascii="Georgia" w:hAnsi="Georgia"/>
        </w:rPr>
        <w:t xml:space="preserve">, </w:t>
      </w:r>
      <w:r w:rsidR="00E672CD" w:rsidRPr="00B732C4">
        <w:rPr>
          <w:rFonts w:ascii="Georgia" w:hAnsi="Georgia"/>
        </w:rPr>
        <w:t xml:space="preserve">ed. Elizabeth Yoder (Elkhart, IN: Institute of Mennonite Studies, 1992), </w:t>
      </w:r>
      <w:r w:rsidRPr="00B732C4">
        <w:rPr>
          <w:rFonts w:ascii="Georgia" w:hAnsi="Georgia"/>
        </w:rPr>
        <w:t xml:space="preserve">99-111. </w:t>
      </w:r>
    </w:p>
    <w:p w:rsidR="00E8708B" w:rsidRPr="00B732C4" w:rsidRDefault="00E8708B" w:rsidP="00E8708B">
      <w:pPr>
        <w:pStyle w:val="NoSpacing"/>
        <w:numPr>
          <w:ilvl w:val="0"/>
          <w:numId w:val="4"/>
        </w:numPr>
        <w:rPr>
          <w:rFonts w:ascii="Georgia" w:hAnsi="Georgia"/>
        </w:rPr>
      </w:pPr>
      <w:r w:rsidRPr="00B732C4">
        <w:rPr>
          <w:rFonts w:ascii="Georgia" w:hAnsi="Georgia"/>
        </w:rPr>
        <w:t xml:space="preserve">*Lisa </w:t>
      </w:r>
      <w:proofErr w:type="spellStart"/>
      <w:r w:rsidRPr="00B732C4">
        <w:rPr>
          <w:rFonts w:ascii="Georgia" w:hAnsi="Georgia"/>
        </w:rPr>
        <w:t>Schirch</w:t>
      </w:r>
      <w:proofErr w:type="spellEnd"/>
      <w:r w:rsidRPr="00B732C4">
        <w:rPr>
          <w:rFonts w:ascii="Georgia" w:hAnsi="Georgia"/>
        </w:rPr>
        <w:t xml:space="preserve">, “Afterword: To the Next Generation of Pacifist Theologians,” in </w:t>
      </w:r>
      <w:r w:rsidRPr="00B732C4">
        <w:rPr>
          <w:rFonts w:ascii="Georgia" w:hAnsi="Georgia"/>
          <w:i/>
        </w:rPr>
        <w:t>John Howard Yoder: Radical Theologian</w:t>
      </w:r>
      <w:r w:rsidRPr="00B732C4">
        <w:rPr>
          <w:rFonts w:ascii="Georgia" w:hAnsi="Georgia"/>
        </w:rPr>
        <w:t>, ed. J. Denny Weaver (Eugene, OR: Cascade, 2014), 377-395.</w:t>
      </w:r>
    </w:p>
    <w:p w:rsidR="00234159" w:rsidRPr="00B732C4" w:rsidRDefault="00E8708B" w:rsidP="00234159">
      <w:pPr>
        <w:pStyle w:val="NoSpacing"/>
        <w:numPr>
          <w:ilvl w:val="0"/>
          <w:numId w:val="4"/>
        </w:numPr>
        <w:rPr>
          <w:rFonts w:ascii="Georgia" w:hAnsi="Georgia"/>
        </w:rPr>
      </w:pPr>
      <w:r w:rsidRPr="00B732C4">
        <w:rPr>
          <w:rFonts w:ascii="Georgia" w:hAnsi="Georgia"/>
        </w:rPr>
        <w:t xml:space="preserve">*Susan Brooks </w:t>
      </w:r>
      <w:proofErr w:type="spellStart"/>
      <w:r w:rsidRPr="00B732C4">
        <w:rPr>
          <w:rFonts w:ascii="Georgia" w:hAnsi="Georgia"/>
        </w:rPr>
        <w:t>Thistlethwaite</w:t>
      </w:r>
      <w:proofErr w:type="spellEnd"/>
      <w:r w:rsidRPr="00B732C4">
        <w:rPr>
          <w:rFonts w:ascii="Georgia" w:hAnsi="Georgia"/>
        </w:rPr>
        <w:t xml:space="preserve">, “Peace and the War on Women,” in </w:t>
      </w:r>
      <w:r w:rsidRPr="00B732C4">
        <w:rPr>
          <w:rFonts w:ascii="Georgia" w:hAnsi="Georgia"/>
          <w:i/>
        </w:rPr>
        <w:t>Women's Bodies as Battlefield: Christian Theology and the Global War on Women</w:t>
      </w:r>
      <w:r w:rsidRPr="00B732C4">
        <w:rPr>
          <w:rFonts w:ascii="Georgia" w:hAnsi="Georgia"/>
        </w:rPr>
        <w:t xml:space="preserve"> (New York: Palgrave Macmillan, 2015), 147-165, 214-216.</w:t>
      </w:r>
      <w:r w:rsidR="00234159" w:rsidRPr="00B732C4">
        <w:rPr>
          <w:rFonts w:ascii="Georgia" w:hAnsi="Georgia"/>
        </w:rPr>
        <w:t xml:space="preserve"> </w:t>
      </w:r>
    </w:p>
    <w:p w:rsidR="00C57996" w:rsidRPr="00B732C4" w:rsidRDefault="00234159" w:rsidP="00BA075A">
      <w:pPr>
        <w:pStyle w:val="NoSpacing"/>
        <w:numPr>
          <w:ilvl w:val="0"/>
          <w:numId w:val="4"/>
        </w:numPr>
        <w:rPr>
          <w:rFonts w:ascii="Georgia" w:hAnsi="Georgia"/>
        </w:rPr>
      </w:pPr>
      <w:r w:rsidRPr="00B732C4">
        <w:rPr>
          <w:rFonts w:ascii="Georgia" w:hAnsi="Georgia"/>
        </w:rPr>
        <w:t xml:space="preserve">*Emily Ralph Servant, “The Gentrification of the Margins,” </w:t>
      </w:r>
      <w:r w:rsidRPr="00B732C4">
        <w:rPr>
          <w:rFonts w:ascii="Georgia" w:hAnsi="Georgia"/>
          <w:i/>
        </w:rPr>
        <w:t>Mennonite Quarterly Review</w:t>
      </w:r>
      <w:r w:rsidRPr="00B732C4">
        <w:rPr>
          <w:rFonts w:ascii="Georgia" w:hAnsi="Georgia"/>
        </w:rPr>
        <w:t xml:space="preserve"> 92 (2018): 403-422.</w:t>
      </w:r>
    </w:p>
    <w:p w:rsidR="001F3B75" w:rsidRPr="00B732C4" w:rsidRDefault="00392585" w:rsidP="004D349A">
      <w:pPr>
        <w:pStyle w:val="Heading2"/>
        <w:rPr>
          <w:rFonts w:ascii="Georgia" w:hAnsi="Georgia"/>
          <w:sz w:val="22"/>
          <w:szCs w:val="22"/>
        </w:rPr>
      </w:pPr>
      <w:r w:rsidRPr="00B732C4">
        <w:rPr>
          <w:rFonts w:ascii="Georgia" w:hAnsi="Georgia"/>
          <w:sz w:val="22"/>
          <w:szCs w:val="22"/>
        </w:rPr>
        <w:t xml:space="preserve">8. </w:t>
      </w:r>
      <w:r w:rsidR="00234159" w:rsidRPr="00B732C4">
        <w:rPr>
          <w:rFonts w:ascii="Georgia" w:hAnsi="Georgia"/>
          <w:sz w:val="22"/>
          <w:szCs w:val="22"/>
        </w:rPr>
        <w:t xml:space="preserve">November 5: </w:t>
      </w:r>
      <w:r w:rsidRPr="00B732C4">
        <w:rPr>
          <w:rFonts w:ascii="Georgia" w:hAnsi="Georgia"/>
          <w:sz w:val="22"/>
          <w:szCs w:val="22"/>
        </w:rPr>
        <w:t>Ecumenical</w:t>
      </w:r>
      <w:r w:rsidR="001F3B75" w:rsidRPr="00B732C4">
        <w:rPr>
          <w:rFonts w:ascii="Georgia" w:hAnsi="Georgia"/>
          <w:sz w:val="22"/>
          <w:szCs w:val="22"/>
        </w:rPr>
        <w:t xml:space="preserve"> </w:t>
      </w:r>
    </w:p>
    <w:p w:rsidR="002D7D62" w:rsidRPr="00B732C4" w:rsidRDefault="002D7D62" w:rsidP="002D7D62">
      <w:pPr>
        <w:pStyle w:val="NoSpacing"/>
        <w:numPr>
          <w:ilvl w:val="0"/>
          <w:numId w:val="4"/>
        </w:numPr>
        <w:rPr>
          <w:rStyle w:val="Hyperlink"/>
          <w:rFonts w:ascii="Georgia" w:hAnsi="Georgia"/>
          <w:color w:val="auto"/>
          <w:u w:val="none"/>
        </w:rPr>
      </w:pPr>
      <w:r w:rsidRPr="00B732C4">
        <w:rPr>
          <w:rFonts w:ascii="Georgia" w:hAnsi="Georgia"/>
        </w:rPr>
        <w:t>“Called Together to be Peacemakers: Report of the International Dialogue between the Catholic Church and Mennonite World Conference,” (2003), especially sections II.A and II.C. and III</w:t>
      </w:r>
      <w:r w:rsidR="001D5CC9" w:rsidRPr="00B732C4">
        <w:rPr>
          <w:rFonts w:ascii="Georgia" w:hAnsi="Georgia"/>
        </w:rPr>
        <w:t>,</w:t>
      </w:r>
      <w:r w:rsidRPr="00B732C4">
        <w:rPr>
          <w:rFonts w:ascii="Georgia" w:hAnsi="Georgia"/>
        </w:rPr>
        <w:t xml:space="preserve"> </w:t>
      </w:r>
      <w:hyperlink r:id="rId13" w:history="1">
        <w:r w:rsidR="00A23C84">
          <w:rPr>
            <w:rStyle w:val="Hyperlink"/>
            <w:rFonts w:ascii="Georgia" w:hAnsi="Georgia"/>
          </w:rPr>
          <w:t>Called Together document link</w:t>
        </w:r>
      </w:hyperlink>
    </w:p>
    <w:p w:rsidR="00D45691" w:rsidRPr="00B732C4" w:rsidRDefault="00A62DD6" w:rsidP="00D45691">
      <w:pPr>
        <w:pStyle w:val="NoSpacing"/>
        <w:numPr>
          <w:ilvl w:val="0"/>
          <w:numId w:val="4"/>
        </w:numPr>
        <w:rPr>
          <w:rFonts w:ascii="Georgia" w:hAnsi="Georgia"/>
        </w:rPr>
      </w:pPr>
      <w:r w:rsidRPr="00B732C4">
        <w:rPr>
          <w:rFonts w:ascii="Georgia" w:hAnsi="Georgia"/>
        </w:rPr>
        <w:t>*</w:t>
      </w:r>
      <w:r w:rsidR="00D45691" w:rsidRPr="00B732C4">
        <w:rPr>
          <w:rFonts w:ascii="Georgia" w:hAnsi="Georgia"/>
        </w:rPr>
        <w:t xml:space="preserve">Gerald W. </w:t>
      </w:r>
      <w:proofErr w:type="spellStart"/>
      <w:r w:rsidR="00D45691" w:rsidRPr="00B732C4">
        <w:rPr>
          <w:rFonts w:ascii="Georgia" w:hAnsi="Georgia"/>
        </w:rPr>
        <w:t>Schlabach</w:t>
      </w:r>
      <w:proofErr w:type="spellEnd"/>
      <w:r w:rsidR="00D45691" w:rsidRPr="00B732C4">
        <w:rPr>
          <w:rFonts w:ascii="Georgia" w:hAnsi="Georgia"/>
        </w:rPr>
        <w:t xml:space="preserve">, “Just Policing: How War Could Cease to be a Church-Dividing Issue,” </w:t>
      </w:r>
      <w:r w:rsidR="00D45691" w:rsidRPr="00B732C4">
        <w:rPr>
          <w:rFonts w:ascii="Georgia" w:hAnsi="Georgia"/>
          <w:i/>
        </w:rPr>
        <w:t>Journal of Ecumenical Studies</w:t>
      </w:r>
      <w:r w:rsidR="00FB71EF" w:rsidRPr="00B732C4">
        <w:rPr>
          <w:rFonts w:ascii="Georgia" w:hAnsi="Georgia"/>
        </w:rPr>
        <w:t xml:space="preserve"> 41 (2004): 409-430.</w:t>
      </w:r>
    </w:p>
    <w:p w:rsidR="002D7D62" w:rsidRPr="00B732C4" w:rsidRDefault="00A62DD6" w:rsidP="001D5CC9">
      <w:pPr>
        <w:pStyle w:val="NoSpacing"/>
        <w:numPr>
          <w:ilvl w:val="0"/>
          <w:numId w:val="4"/>
        </w:numPr>
        <w:rPr>
          <w:rFonts w:ascii="Georgia" w:hAnsi="Georgia"/>
        </w:rPr>
      </w:pPr>
      <w:r w:rsidRPr="00B732C4">
        <w:rPr>
          <w:rFonts w:ascii="Georgia" w:hAnsi="Georgia"/>
        </w:rPr>
        <w:t>*</w:t>
      </w:r>
      <w:r w:rsidR="002D7D62" w:rsidRPr="00B732C4">
        <w:rPr>
          <w:rFonts w:ascii="Georgia" w:hAnsi="Georgia"/>
        </w:rPr>
        <w:t xml:space="preserve">World Council of Churches, </w:t>
      </w:r>
      <w:proofErr w:type="gramStart"/>
      <w:r w:rsidR="002D7D62" w:rsidRPr="00B732C4">
        <w:rPr>
          <w:rFonts w:ascii="Georgia" w:hAnsi="Georgia"/>
          <w:i/>
        </w:rPr>
        <w:t>An</w:t>
      </w:r>
      <w:proofErr w:type="gramEnd"/>
      <w:r w:rsidR="002D7D62" w:rsidRPr="00B732C4">
        <w:rPr>
          <w:rFonts w:ascii="Georgia" w:hAnsi="Georgia"/>
          <w:i/>
        </w:rPr>
        <w:t xml:space="preserve"> Ecumenical Call to Just Peace</w:t>
      </w:r>
      <w:r w:rsidR="002D7D62" w:rsidRPr="00B732C4">
        <w:rPr>
          <w:rFonts w:ascii="Georgia" w:hAnsi="Georgia"/>
        </w:rPr>
        <w:t xml:space="preserve"> (Ge</w:t>
      </w:r>
      <w:r w:rsidR="001D5CC9" w:rsidRPr="00B732C4">
        <w:rPr>
          <w:rFonts w:ascii="Georgia" w:hAnsi="Georgia"/>
        </w:rPr>
        <w:t xml:space="preserve">neva: WCC, 2011). </w:t>
      </w:r>
    </w:p>
    <w:p w:rsidR="00D45691" w:rsidRPr="00B732C4" w:rsidRDefault="001D5CC9" w:rsidP="001F3B75">
      <w:pPr>
        <w:pStyle w:val="NoSpacing"/>
        <w:numPr>
          <w:ilvl w:val="0"/>
          <w:numId w:val="4"/>
        </w:numPr>
        <w:rPr>
          <w:rFonts w:ascii="Georgia" w:hAnsi="Georgia"/>
        </w:rPr>
      </w:pPr>
      <w:proofErr w:type="spellStart"/>
      <w:r w:rsidRPr="00B732C4">
        <w:rPr>
          <w:rFonts w:ascii="Georgia" w:hAnsi="Georgia"/>
        </w:rPr>
        <w:t>Guth</w:t>
      </w:r>
      <w:proofErr w:type="spellEnd"/>
      <w:r w:rsidRPr="00B732C4">
        <w:rPr>
          <w:rFonts w:ascii="Georgia" w:hAnsi="Georgia"/>
        </w:rPr>
        <w:t xml:space="preserve">, </w:t>
      </w:r>
      <w:r w:rsidRPr="00B732C4">
        <w:rPr>
          <w:rFonts w:ascii="Georgia" w:hAnsi="Georgia"/>
          <w:i/>
        </w:rPr>
        <w:t>Christian Ethics</w:t>
      </w:r>
      <w:r w:rsidRPr="00B732C4">
        <w:rPr>
          <w:rFonts w:ascii="Georgia" w:hAnsi="Georgia"/>
        </w:rPr>
        <w:t>, Introduction &amp; chapter 1</w:t>
      </w:r>
      <w:r w:rsidR="007B3C58" w:rsidRPr="00B732C4">
        <w:rPr>
          <w:rFonts w:ascii="Georgia" w:hAnsi="Georgia"/>
        </w:rPr>
        <w:t xml:space="preserve"> (first chapters)</w:t>
      </w:r>
    </w:p>
    <w:p w:rsidR="00392585" w:rsidRPr="00B732C4" w:rsidRDefault="007B3C58" w:rsidP="004D349A">
      <w:pPr>
        <w:pStyle w:val="Heading2"/>
        <w:rPr>
          <w:rFonts w:ascii="Georgia" w:hAnsi="Georgia"/>
          <w:sz w:val="22"/>
          <w:szCs w:val="22"/>
        </w:rPr>
      </w:pPr>
      <w:r w:rsidRPr="00B732C4">
        <w:rPr>
          <w:rFonts w:ascii="Georgia" w:hAnsi="Georgia"/>
          <w:sz w:val="22"/>
          <w:szCs w:val="22"/>
        </w:rPr>
        <w:t xml:space="preserve">9. </w:t>
      </w:r>
      <w:r w:rsidR="00234159" w:rsidRPr="00B732C4">
        <w:rPr>
          <w:rFonts w:ascii="Georgia" w:hAnsi="Georgia"/>
          <w:sz w:val="22"/>
          <w:szCs w:val="22"/>
        </w:rPr>
        <w:t xml:space="preserve">November 12: </w:t>
      </w:r>
      <w:r w:rsidR="00392585" w:rsidRPr="00B732C4">
        <w:rPr>
          <w:rFonts w:ascii="Georgia" w:hAnsi="Georgia"/>
          <w:sz w:val="22"/>
          <w:szCs w:val="22"/>
        </w:rPr>
        <w:t>Public theologies</w:t>
      </w:r>
    </w:p>
    <w:p w:rsidR="001F3B75" w:rsidRPr="00B732C4" w:rsidRDefault="001D5CC9" w:rsidP="00BA075A">
      <w:pPr>
        <w:pStyle w:val="NoSpacing"/>
        <w:numPr>
          <w:ilvl w:val="0"/>
          <w:numId w:val="16"/>
        </w:numPr>
        <w:rPr>
          <w:rFonts w:ascii="Georgia" w:hAnsi="Georgia"/>
        </w:rPr>
      </w:pPr>
      <w:proofErr w:type="spellStart"/>
      <w:r w:rsidRPr="00B732C4">
        <w:rPr>
          <w:rFonts w:ascii="Georgia" w:hAnsi="Georgia"/>
        </w:rPr>
        <w:t>Guth</w:t>
      </w:r>
      <w:proofErr w:type="spellEnd"/>
      <w:r w:rsidRPr="00B732C4">
        <w:rPr>
          <w:rFonts w:ascii="Georgia" w:hAnsi="Georgia"/>
        </w:rPr>
        <w:t xml:space="preserve">, </w:t>
      </w:r>
      <w:r w:rsidRPr="00B732C4">
        <w:rPr>
          <w:rFonts w:ascii="Georgia" w:hAnsi="Georgia"/>
          <w:i/>
        </w:rPr>
        <w:t>Christian Ethics</w:t>
      </w:r>
      <w:r w:rsidRPr="00B732C4">
        <w:rPr>
          <w:rFonts w:ascii="Georgia" w:hAnsi="Georgia"/>
        </w:rPr>
        <w:t>, chapters 2-4, Conclusion</w:t>
      </w:r>
    </w:p>
    <w:p w:rsidR="001F3B75" w:rsidRPr="00B732C4" w:rsidRDefault="00392585" w:rsidP="004D349A">
      <w:pPr>
        <w:pStyle w:val="Heading2"/>
        <w:rPr>
          <w:rFonts w:ascii="Georgia" w:hAnsi="Georgia"/>
          <w:sz w:val="22"/>
          <w:szCs w:val="22"/>
        </w:rPr>
      </w:pPr>
      <w:r w:rsidRPr="00B732C4">
        <w:rPr>
          <w:rFonts w:ascii="Georgia" w:hAnsi="Georgia"/>
          <w:sz w:val="22"/>
          <w:szCs w:val="22"/>
        </w:rPr>
        <w:t>10</w:t>
      </w:r>
      <w:r w:rsidR="009E63BC" w:rsidRPr="00B732C4">
        <w:rPr>
          <w:rFonts w:ascii="Georgia" w:hAnsi="Georgia"/>
          <w:sz w:val="22"/>
          <w:szCs w:val="22"/>
        </w:rPr>
        <w:t xml:space="preserve">. </w:t>
      </w:r>
      <w:r w:rsidR="00234159" w:rsidRPr="00B732C4">
        <w:rPr>
          <w:rFonts w:ascii="Georgia" w:hAnsi="Georgia"/>
          <w:sz w:val="22"/>
          <w:szCs w:val="22"/>
        </w:rPr>
        <w:t xml:space="preserve">November 19: </w:t>
      </w:r>
      <w:r w:rsidR="009E63BC" w:rsidRPr="00B732C4">
        <w:rPr>
          <w:rFonts w:ascii="Georgia" w:hAnsi="Georgia"/>
          <w:sz w:val="22"/>
          <w:szCs w:val="22"/>
        </w:rPr>
        <w:t>Cultures of peace</w:t>
      </w:r>
      <w:r w:rsidR="00427AD0" w:rsidRPr="00B732C4">
        <w:rPr>
          <w:rFonts w:ascii="Georgia" w:hAnsi="Georgia"/>
          <w:sz w:val="22"/>
          <w:szCs w:val="22"/>
        </w:rPr>
        <w:t xml:space="preserve"> I</w:t>
      </w:r>
    </w:p>
    <w:p w:rsidR="00427AD0" w:rsidRPr="00B732C4" w:rsidRDefault="00427AD0" w:rsidP="00E672CD">
      <w:pPr>
        <w:pStyle w:val="NoSpacing"/>
        <w:numPr>
          <w:ilvl w:val="0"/>
          <w:numId w:val="5"/>
        </w:numPr>
        <w:rPr>
          <w:rFonts w:ascii="Georgia" w:hAnsi="Georgia"/>
        </w:rPr>
      </w:pPr>
      <w:r w:rsidRPr="00B732C4">
        <w:rPr>
          <w:rFonts w:ascii="Georgia" w:hAnsi="Georgia"/>
        </w:rPr>
        <w:t xml:space="preserve">*John Paul </w:t>
      </w:r>
      <w:proofErr w:type="spellStart"/>
      <w:r w:rsidRPr="00B732C4">
        <w:rPr>
          <w:rFonts w:ascii="Georgia" w:hAnsi="Georgia"/>
        </w:rPr>
        <w:t>Lederach</w:t>
      </w:r>
      <w:proofErr w:type="spellEnd"/>
      <w:r w:rsidRPr="00B732C4">
        <w:rPr>
          <w:rFonts w:ascii="Georgia" w:hAnsi="Georgia"/>
        </w:rPr>
        <w:t xml:space="preserve">, “Journey from Resolution to Transformative Peacebuilding,” in </w:t>
      </w:r>
      <w:r w:rsidRPr="00B732C4">
        <w:rPr>
          <w:rFonts w:ascii="Georgia" w:hAnsi="Georgia"/>
          <w:i/>
        </w:rPr>
        <w:t>From the Ground Up</w:t>
      </w:r>
      <w:r w:rsidRPr="00B732C4">
        <w:rPr>
          <w:rFonts w:ascii="Georgia" w:hAnsi="Georgia"/>
        </w:rPr>
        <w:t xml:space="preserve">, </w:t>
      </w:r>
      <w:r w:rsidR="00E672CD" w:rsidRPr="00B732C4">
        <w:rPr>
          <w:rFonts w:ascii="Georgia" w:hAnsi="Georgia"/>
        </w:rPr>
        <w:t xml:space="preserve">ed. Cynthia Sampson and John Paul </w:t>
      </w:r>
      <w:proofErr w:type="spellStart"/>
      <w:r w:rsidR="00E672CD" w:rsidRPr="00B732C4">
        <w:rPr>
          <w:rFonts w:ascii="Georgia" w:hAnsi="Georgia"/>
        </w:rPr>
        <w:t>Lederach</w:t>
      </w:r>
      <w:proofErr w:type="spellEnd"/>
      <w:r w:rsidR="00E672CD" w:rsidRPr="00B732C4">
        <w:rPr>
          <w:rFonts w:ascii="Georgia" w:hAnsi="Georgia"/>
        </w:rPr>
        <w:t xml:space="preserve"> (Oxford: Oxford University Press, 2000), </w:t>
      </w:r>
      <w:r w:rsidRPr="00B732C4">
        <w:rPr>
          <w:rFonts w:ascii="Georgia" w:hAnsi="Georgia"/>
        </w:rPr>
        <w:t>45-55.</w:t>
      </w:r>
    </w:p>
    <w:p w:rsidR="007B3C58" w:rsidRPr="00B732C4" w:rsidRDefault="00392585" w:rsidP="00392585">
      <w:pPr>
        <w:pStyle w:val="NoSpacing"/>
        <w:numPr>
          <w:ilvl w:val="0"/>
          <w:numId w:val="5"/>
        </w:numPr>
        <w:rPr>
          <w:rFonts w:ascii="Georgia" w:hAnsi="Georgia"/>
        </w:rPr>
      </w:pPr>
      <w:r w:rsidRPr="00B732C4">
        <w:rPr>
          <w:rFonts w:ascii="Georgia" w:hAnsi="Georgia"/>
        </w:rPr>
        <w:t>*</w:t>
      </w:r>
      <w:proofErr w:type="spellStart"/>
      <w:r w:rsidR="007B3C58" w:rsidRPr="00B732C4">
        <w:rPr>
          <w:rFonts w:ascii="Georgia" w:hAnsi="Georgia"/>
        </w:rPr>
        <w:t>Alix</w:t>
      </w:r>
      <w:proofErr w:type="spellEnd"/>
      <w:r w:rsidR="007B3C58" w:rsidRPr="00B732C4">
        <w:rPr>
          <w:rFonts w:ascii="Georgia" w:hAnsi="Georgia"/>
        </w:rPr>
        <w:t xml:space="preserve"> Lozano, “Being a Peace Church in the Colombian Context,”</w:t>
      </w:r>
      <w:r w:rsidR="000057CE" w:rsidRPr="00B732C4">
        <w:rPr>
          <w:rFonts w:ascii="Georgia" w:hAnsi="Georgia"/>
        </w:rPr>
        <w:t xml:space="preserve"> in </w:t>
      </w:r>
      <w:r w:rsidR="002A67AD" w:rsidRPr="00B732C4">
        <w:rPr>
          <w:rFonts w:ascii="Georgia" w:hAnsi="Georgia"/>
          <w:i/>
        </w:rPr>
        <w:t>Seeking Cultures of Peace</w:t>
      </w:r>
      <w:r w:rsidR="002A67AD" w:rsidRPr="00B732C4">
        <w:rPr>
          <w:rFonts w:ascii="Georgia" w:hAnsi="Georgia"/>
        </w:rPr>
        <w:t>,</w:t>
      </w:r>
      <w:r w:rsidR="00E672CD" w:rsidRPr="00B732C4">
        <w:rPr>
          <w:rFonts w:ascii="Georgia" w:hAnsi="Georgia"/>
        </w:rPr>
        <w:t xml:space="preserve"> ed. Fernando Enns et al. (Telford, PA: Cascadia, 2004),</w:t>
      </w:r>
      <w:r w:rsidR="007B3C58" w:rsidRPr="00B732C4">
        <w:rPr>
          <w:rFonts w:ascii="Georgia" w:hAnsi="Georgia"/>
        </w:rPr>
        <w:t xml:space="preserve"> 147-154.</w:t>
      </w:r>
    </w:p>
    <w:p w:rsidR="007B3C58" w:rsidRPr="00B732C4" w:rsidRDefault="007B3C58" w:rsidP="00E672CD">
      <w:pPr>
        <w:pStyle w:val="NoSpacing"/>
        <w:numPr>
          <w:ilvl w:val="0"/>
          <w:numId w:val="4"/>
        </w:numPr>
        <w:rPr>
          <w:rFonts w:ascii="Georgia" w:hAnsi="Georgia"/>
        </w:rPr>
      </w:pPr>
      <w:r w:rsidRPr="00B732C4">
        <w:rPr>
          <w:rFonts w:ascii="Georgia" w:hAnsi="Georgia"/>
        </w:rPr>
        <w:t>*Bonnie Klassen, “Communities of Hope: Colombian Anabaptist Churches Bridging the Abyss of Su</w:t>
      </w:r>
      <w:r w:rsidR="000057CE" w:rsidRPr="00B732C4">
        <w:rPr>
          <w:rFonts w:ascii="Georgia" w:hAnsi="Georgia"/>
        </w:rPr>
        <w:t xml:space="preserve">ffering with Faith,” in </w:t>
      </w:r>
      <w:r w:rsidRPr="00B732C4">
        <w:rPr>
          <w:rFonts w:ascii="Georgia" w:hAnsi="Georgia"/>
          <w:i/>
        </w:rPr>
        <w:t>From Suffering to Solidarity</w:t>
      </w:r>
      <w:r w:rsidR="000057CE" w:rsidRPr="00B732C4">
        <w:rPr>
          <w:rFonts w:ascii="Georgia" w:hAnsi="Georgia"/>
        </w:rPr>
        <w:t>,</w:t>
      </w:r>
      <w:r w:rsidR="00E672CD" w:rsidRPr="00B732C4">
        <w:rPr>
          <w:rFonts w:ascii="Georgia" w:hAnsi="Georgia"/>
        </w:rPr>
        <w:t xml:space="preserve"> ed. Andrew P. </w:t>
      </w:r>
      <w:proofErr w:type="spellStart"/>
      <w:r w:rsidR="00E672CD" w:rsidRPr="00B732C4">
        <w:rPr>
          <w:rFonts w:ascii="Georgia" w:hAnsi="Georgia"/>
        </w:rPr>
        <w:t>Klager</w:t>
      </w:r>
      <w:proofErr w:type="spellEnd"/>
      <w:r w:rsidR="00E672CD" w:rsidRPr="00B732C4">
        <w:rPr>
          <w:rFonts w:ascii="Georgia" w:hAnsi="Georgia"/>
        </w:rPr>
        <w:t xml:space="preserve"> (Eugene, OR: Pickwick, 2015),</w:t>
      </w:r>
      <w:r w:rsidRPr="00B732C4">
        <w:rPr>
          <w:rFonts w:ascii="Georgia" w:hAnsi="Georgia"/>
        </w:rPr>
        <w:t xml:space="preserve"> 251-273.</w:t>
      </w:r>
    </w:p>
    <w:p w:rsidR="00392585" w:rsidRPr="00B732C4" w:rsidRDefault="00A62DD6" w:rsidP="00392585">
      <w:pPr>
        <w:pStyle w:val="NoSpacing"/>
        <w:numPr>
          <w:ilvl w:val="0"/>
          <w:numId w:val="4"/>
        </w:numPr>
        <w:rPr>
          <w:rFonts w:ascii="Georgia" w:hAnsi="Georgia"/>
        </w:rPr>
      </w:pPr>
      <w:r w:rsidRPr="00B732C4">
        <w:rPr>
          <w:rFonts w:ascii="Georgia" w:hAnsi="Georgia"/>
        </w:rPr>
        <w:t>*</w:t>
      </w:r>
      <w:r w:rsidR="00392585" w:rsidRPr="00B732C4">
        <w:rPr>
          <w:rFonts w:ascii="Georgia" w:hAnsi="Georgia"/>
        </w:rPr>
        <w:t xml:space="preserve">Janna L. Hunter-Bowman, “Constructive Agents </w:t>
      </w:r>
      <w:proofErr w:type="gramStart"/>
      <w:r w:rsidR="00392585" w:rsidRPr="00B732C4">
        <w:rPr>
          <w:rFonts w:ascii="Georgia" w:hAnsi="Georgia"/>
        </w:rPr>
        <w:t>Under</w:t>
      </w:r>
      <w:proofErr w:type="gramEnd"/>
      <w:r w:rsidR="00392585" w:rsidRPr="00B732C4">
        <w:rPr>
          <w:rFonts w:ascii="Georgia" w:hAnsi="Georgia"/>
        </w:rPr>
        <w:t xml:space="preserve"> Duress: Alternatives to the Structural, Political, and Agential Inadequacies of Past Theologies of Nonviolent Peacebuilding Efforts,” </w:t>
      </w:r>
      <w:r w:rsidR="00392585" w:rsidRPr="00B732C4">
        <w:rPr>
          <w:rFonts w:ascii="Georgia" w:hAnsi="Georgia"/>
          <w:i/>
        </w:rPr>
        <w:t>Journal of the Society of Christian Ethics</w:t>
      </w:r>
      <w:r w:rsidR="00392585" w:rsidRPr="00B732C4">
        <w:rPr>
          <w:rFonts w:ascii="Georgia" w:hAnsi="Georgia"/>
        </w:rPr>
        <w:t xml:space="preserve"> 38 (2018): 149-168.</w:t>
      </w:r>
    </w:p>
    <w:p w:rsidR="005C4B2E" w:rsidRPr="00B732C4" w:rsidRDefault="007B3C58" w:rsidP="00BA075A">
      <w:pPr>
        <w:pStyle w:val="NoSpacing"/>
        <w:numPr>
          <w:ilvl w:val="0"/>
          <w:numId w:val="4"/>
        </w:numPr>
        <w:rPr>
          <w:rFonts w:ascii="Georgia" w:hAnsi="Georgia"/>
        </w:rPr>
      </w:pPr>
      <w:r w:rsidRPr="00B732C4">
        <w:rPr>
          <w:rFonts w:ascii="Georgia" w:hAnsi="Georgia"/>
        </w:rPr>
        <w:t xml:space="preserve">*Emily Welty, “A Mennonite Peace? An Analysis of Mennonite Central Committee’s Work in East Africa,” </w:t>
      </w:r>
      <w:r w:rsidRPr="00B732C4">
        <w:rPr>
          <w:rFonts w:ascii="Georgia" w:hAnsi="Georgia"/>
          <w:i/>
        </w:rPr>
        <w:t>Mennonite Quarterly Review</w:t>
      </w:r>
      <w:r w:rsidRPr="00B732C4">
        <w:rPr>
          <w:rFonts w:ascii="Georgia" w:hAnsi="Georgia"/>
        </w:rPr>
        <w:t xml:space="preserve"> 90 (2016): 533-566.</w:t>
      </w:r>
    </w:p>
    <w:p w:rsidR="005C4B2E" w:rsidRPr="00B732C4" w:rsidRDefault="001F3B75" w:rsidP="004D349A">
      <w:pPr>
        <w:pStyle w:val="Heading2"/>
        <w:rPr>
          <w:rFonts w:ascii="Georgia" w:hAnsi="Georgia"/>
          <w:sz w:val="22"/>
          <w:szCs w:val="22"/>
        </w:rPr>
      </w:pPr>
      <w:r w:rsidRPr="00B732C4">
        <w:rPr>
          <w:rFonts w:ascii="Georgia" w:hAnsi="Georgia"/>
          <w:sz w:val="22"/>
          <w:szCs w:val="22"/>
        </w:rPr>
        <w:t>11</w:t>
      </w:r>
      <w:r w:rsidR="005C4B2E" w:rsidRPr="00B732C4">
        <w:rPr>
          <w:rFonts w:ascii="Georgia" w:hAnsi="Georgia"/>
          <w:sz w:val="22"/>
          <w:szCs w:val="22"/>
        </w:rPr>
        <w:t xml:space="preserve">. </w:t>
      </w:r>
      <w:r w:rsidR="00234159" w:rsidRPr="00B732C4">
        <w:rPr>
          <w:rFonts w:ascii="Georgia" w:hAnsi="Georgia"/>
          <w:sz w:val="22"/>
          <w:szCs w:val="22"/>
        </w:rPr>
        <w:t xml:space="preserve">November 26: </w:t>
      </w:r>
      <w:r w:rsidR="005C4B2E" w:rsidRPr="00B732C4">
        <w:rPr>
          <w:rFonts w:ascii="Georgia" w:hAnsi="Georgia"/>
          <w:sz w:val="22"/>
          <w:szCs w:val="22"/>
        </w:rPr>
        <w:t>Cultures of peace</w:t>
      </w:r>
      <w:r w:rsidR="00427AD0" w:rsidRPr="00B732C4">
        <w:rPr>
          <w:rFonts w:ascii="Georgia" w:hAnsi="Georgia"/>
          <w:sz w:val="22"/>
          <w:szCs w:val="22"/>
        </w:rPr>
        <w:t xml:space="preserve"> II</w:t>
      </w:r>
      <w:r w:rsidR="002C0FED" w:rsidRPr="00B732C4">
        <w:rPr>
          <w:rFonts w:ascii="Georgia" w:hAnsi="Georgia"/>
          <w:sz w:val="22"/>
          <w:szCs w:val="22"/>
        </w:rPr>
        <w:t xml:space="preserve"> / student presentations</w:t>
      </w:r>
    </w:p>
    <w:p w:rsidR="00211313" w:rsidRPr="00B732C4" w:rsidRDefault="00A62DD6" w:rsidP="00211313">
      <w:pPr>
        <w:pStyle w:val="NoSpacing"/>
        <w:numPr>
          <w:ilvl w:val="0"/>
          <w:numId w:val="4"/>
        </w:numPr>
        <w:rPr>
          <w:rFonts w:ascii="Georgia" w:hAnsi="Georgia"/>
        </w:rPr>
      </w:pPr>
      <w:r w:rsidRPr="00B732C4">
        <w:rPr>
          <w:rFonts w:ascii="Georgia" w:hAnsi="Georgia"/>
        </w:rPr>
        <w:t>*</w:t>
      </w:r>
      <w:r w:rsidR="00211313" w:rsidRPr="00B732C4">
        <w:rPr>
          <w:rFonts w:ascii="Georgia" w:hAnsi="Georgia"/>
        </w:rPr>
        <w:t xml:space="preserve">Alain Epp Weaver, “Humility, Peacebuilding, and the Limits of Christian Pacifism,” </w:t>
      </w:r>
      <w:r w:rsidR="00211313" w:rsidRPr="00B732C4">
        <w:rPr>
          <w:rFonts w:ascii="Georgia" w:hAnsi="Georgia"/>
          <w:i/>
        </w:rPr>
        <w:t>The Conrad Grebel Review</w:t>
      </w:r>
      <w:r w:rsidR="00211313" w:rsidRPr="00B732C4">
        <w:rPr>
          <w:rFonts w:ascii="Georgia" w:hAnsi="Georgia"/>
        </w:rPr>
        <w:t xml:space="preserve"> 35, no. 3 (Fall 2017).</w:t>
      </w:r>
      <w:r w:rsidR="00FB71EF" w:rsidRPr="00B732C4">
        <w:rPr>
          <w:rFonts w:ascii="Georgia" w:hAnsi="Georgia"/>
        </w:rPr>
        <w:t xml:space="preserve"> </w:t>
      </w:r>
    </w:p>
    <w:p w:rsidR="00211313" w:rsidRPr="00B732C4" w:rsidRDefault="00A62DD6" w:rsidP="00211313">
      <w:pPr>
        <w:pStyle w:val="NoSpacing"/>
        <w:numPr>
          <w:ilvl w:val="0"/>
          <w:numId w:val="4"/>
        </w:numPr>
        <w:rPr>
          <w:rFonts w:ascii="Georgia" w:hAnsi="Georgia"/>
        </w:rPr>
      </w:pPr>
      <w:r w:rsidRPr="00B732C4">
        <w:rPr>
          <w:rFonts w:ascii="Georgia" w:hAnsi="Georgia"/>
        </w:rPr>
        <w:t>*</w:t>
      </w:r>
      <w:r w:rsidR="00211313" w:rsidRPr="00B732C4">
        <w:rPr>
          <w:rFonts w:ascii="Georgia" w:hAnsi="Georgia"/>
        </w:rPr>
        <w:t xml:space="preserve">Malinda Elizabeth Berry, “Shalom Political Theology: A New Type of Mennonite Peace Theology for a New Era of Discipleship,” </w:t>
      </w:r>
      <w:r w:rsidR="00211313" w:rsidRPr="00B732C4">
        <w:rPr>
          <w:rFonts w:ascii="Georgia" w:hAnsi="Georgia"/>
          <w:i/>
        </w:rPr>
        <w:t>The Conrad Grebel Review</w:t>
      </w:r>
      <w:r w:rsidR="00211313" w:rsidRPr="00B732C4">
        <w:rPr>
          <w:rFonts w:ascii="Georgia" w:hAnsi="Georgia"/>
        </w:rPr>
        <w:t xml:space="preserve"> 34, no. 1 (Winter 2016): 49-73</w:t>
      </w:r>
      <w:r w:rsidR="00FB71EF" w:rsidRPr="00B732C4">
        <w:rPr>
          <w:rFonts w:ascii="Georgia" w:hAnsi="Georgia"/>
        </w:rPr>
        <w:t>.</w:t>
      </w:r>
    </w:p>
    <w:p w:rsidR="00211313" w:rsidRPr="00B732C4" w:rsidRDefault="00A62DD6" w:rsidP="00211313">
      <w:pPr>
        <w:pStyle w:val="NoSpacing"/>
        <w:numPr>
          <w:ilvl w:val="0"/>
          <w:numId w:val="4"/>
        </w:numPr>
        <w:rPr>
          <w:rFonts w:ascii="Georgia" w:hAnsi="Georgia"/>
        </w:rPr>
      </w:pPr>
      <w:r w:rsidRPr="00B732C4">
        <w:rPr>
          <w:rFonts w:ascii="Georgia" w:hAnsi="Georgia"/>
        </w:rPr>
        <w:t>*</w:t>
      </w:r>
      <w:r w:rsidR="002D7D62" w:rsidRPr="00B732C4">
        <w:rPr>
          <w:rFonts w:ascii="Georgia" w:hAnsi="Georgia"/>
        </w:rPr>
        <w:t xml:space="preserve">Lowell </w:t>
      </w:r>
      <w:proofErr w:type="spellStart"/>
      <w:r w:rsidR="002D7D62" w:rsidRPr="00B732C4">
        <w:rPr>
          <w:rFonts w:ascii="Georgia" w:hAnsi="Georgia"/>
        </w:rPr>
        <w:t>Ewert</w:t>
      </w:r>
      <w:proofErr w:type="spellEnd"/>
      <w:r w:rsidR="002D7D62" w:rsidRPr="00B732C4">
        <w:rPr>
          <w:rFonts w:ascii="Georgia" w:hAnsi="Georgia"/>
        </w:rPr>
        <w:t xml:space="preserve">, </w:t>
      </w:r>
      <w:r w:rsidR="00034271" w:rsidRPr="00B732C4">
        <w:rPr>
          <w:rFonts w:ascii="Georgia" w:hAnsi="Georgia"/>
        </w:rPr>
        <w:t>“</w:t>
      </w:r>
      <w:r w:rsidR="00FB71EF" w:rsidRPr="00B732C4">
        <w:rPr>
          <w:rFonts w:ascii="Georgia" w:hAnsi="Georgia"/>
        </w:rPr>
        <w:t>Peace Studies and International Law</w:t>
      </w:r>
      <w:r w:rsidR="00034271" w:rsidRPr="00B732C4">
        <w:rPr>
          <w:rFonts w:ascii="Georgia" w:hAnsi="Georgia"/>
        </w:rPr>
        <w:t xml:space="preserve">,” </w:t>
      </w:r>
      <w:r w:rsidR="00692092" w:rsidRPr="00B732C4">
        <w:rPr>
          <w:rFonts w:ascii="Georgia" w:hAnsi="Georgia"/>
        </w:rPr>
        <w:t xml:space="preserve">in </w:t>
      </w:r>
      <w:r w:rsidR="00FB71EF" w:rsidRPr="00B732C4">
        <w:rPr>
          <w:rFonts w:ascii="Georgia" w:hAnsi="Georgia"/>
          <w:i/>
        </w:rPr>
        <w:t xml:space="preserve">Education with the Grain of the Universe, </w:t>
      </w:r>
      <w:r w:rsidR="00FB71EF" w:rsidRPr="00B732C4">
        <w:rPr>
          <w:rFonts w:ascii="Georgia" w:hAnsi="Georgia"/>
        </w:rPr>
        <w:t>ed. J. Denny Weaver (Telford, PA: Cascadia, 2017),</w:t>
      </w:r>
      <w:r w:rsidR="002C2BD9" w:rsidRPr="00B732C4">
        <w:rPr>
          <w:rFonts w:ascii="Georgia" w:hAnsi="Georgia"/>
        </w:rPr>
        <w:t xml:space="preserve"> </w:t>
      </w:r>
      <w:r w:rsidR="00FB71EF" w:rsidRPr="00B732C4">
        <w:rPr>
          <w:rFonts w:ascii="Georgia" w:hAnsi="Georgia"/>
        </w:rPr>
        <w:t>245-255.</w:t>
      </w:r>
    </w:p>
    <w:p w:rsidR="007A2175" w:rsidRPr="00B732C4" w:rsidRDefault="00A62DD6" w:rsidP="002D7D62">
      <w:pPr>
        <w:pStyle w:val="NoSpacing"/>
        <w:numPr>
          <w:ilvl w:val="0"/>
          <w:numId w:val="4"/>
        </w:numPr>
        <w:rPr>
          <w:rFonts w:ascii="Georgia" w:hAnsi="Georgia" w:cstheme="minorHAnsi"/>
        </w:rPr>
      </w:pPr>
      <w:r w:rsidRPr="00B732C4">
        <w:rPr>
          <w:rFonts w:ascii="Georgia" w:hAnsi="Georgia" w:cstheme="minorHAnsi"/>
        </w:rPr>
        <w:t>*</w:t>
      </w:r>
      <w:r w:rsidR="00F60404" w:rsidRPr="00B732C4">
        <w:rPr>
          <w:rFonts w:ascii="Georgia" w:hAnsi="Georgia" w:cstheme="minorHAnsi"/>
        </w:rPr>
        <w:t>Matthew Eaton, “Eco-pacifism and the Anabaptist Vision,”</w:t>
      </w:r>
      <w:r w:rsidR="002D7D62" w:rsidRPr="00B732C4">
        <w:rPr>
          <w:rFonts w:ascii="Georgia" w:hAnsi="Georgia" w:cstheme="minorHAnsi"/>
        </w:rPr>
        <w:t xml:space="preserve"> </w:t>
      </w:r>
      <w:r w:rsidR="002D7D62" w:rsidRPr="00B732C4">
        <w:rPr>
          <w:rFonts w:ascii="Georgia" w:hAnsi="Georgia" w:cstheme="minorHAnsi"/>
          <w:i/>
        </w:rPr>
        <w:t>The Conrad Grebel Review</w:t>
      </w:r>
      <w:r w:rsidR="00F60404" w:rsidRPr="00B732C4">
        <w:rPr>
          <w:rFonts w:ascii="Georgia" w:hAnsi="Georgia" w:cstheme="minorHAnsi"/>
        </w:rPr>
        <w:t xml:space="preserve"> 29</w:t>
      </w:r>
      <w:r w:rsidR="002D7D62" w:rsidRPr="00B732C4">
        <w:rPr>
          <w:rFonts w:ascii="Georgia" w:hAnsi="Georgia" w:cstheme="minorHAnsi"/>
        </w:rPr>
        <w:t>,</w:t>
      </w:r>
      <w:r w:rsidR="00F60404" w:rsidRPr="00B732C4">
        <w:rPr>
          <w:rFonts w:ascii="Georgia" w:hAnsi="Georgia" w:cstheme="minorHAnsi"/>
        </w:rPr>
        <w:t xml:space="preserve"> no</w:t>
      </w:r>
      <w:r w:rsidR="002D7D62" w:rsidRPr="00B732C4">
        <w:rPr>
          <w:rFonts w:ascii="Georgia" w:hAnsi="Georgia" w:cstheme="minorHAnsi"/>
        </w:rPr>
        <w:t>.</w:t>
      </w:r>
      <w:r w:rsidR="00F60404" w:rsidRPr="00B732C4">
        <w:rPr>
          <w:rFonts w:ascii="Georgia" w:hAnsi="Georgia" w:cstheme="minorHAnsi"/>
        </w:rPr>
        <w:t xml:space="preserve"> 2 </w:t>
      </w:r>
      <w:r w:rsidR="002D7D62" w:rsidRPr="00B732C4">
        <w:rPr>
          <w:rFonts w:ascii="Georgia" w:hAnsi="Georgia" w:cstheme="minorHAnsi"/>
        </w:rPr>
        <w:t>(</w:t>
      </w:r>
      <w:r w:rsidR="00F60404" w:rsidRPr="00B732C4">
        <w:rPr>
          <w:rFonts w:ascii="Georgia" w:hAnsi="Georgia" w:cstheme="minorHAnsi"/>
        </w:rPr>
        <w:t>Spr</w:t>
      </w:r>
      <w:r w:rsidR="002D7D62" w:rsidRPr="00B732C4">
        <w:rPr>
          <w:rFonts w:ascii="Georgia" w:hAnsi="Georgia" w:cstheme="minorHAnsi"/>
        </w:rPr>
        <w:t xml:space="preserve">ing 2011): </w:t>
      </w:r>
      <w:r w:rsidR="00F60404" w:rsidRPr="00B732C4">
        <w:rPr>
          <w:rFonts w:ascii="Georgia" w:hAnsi="Georgia" w:cstheme="minorHAnsi"/>
        </w:rPr>
        <w:t>71-94.</w:t>
      </w:r>
      <w:r w:rsidR="00FB71EF" w:rsidRPr="00B732C4">
        <w:rPr>
          <w:rFonts w:ascii="Georgia" w:hAnsi="Georgia" w:cstheme="minorHAnsi"/>
        </w:rPr>
        <w:t xml:space="preserve"> </w:t>
      </w:r>
    </w:p>
    <w:p w:rsidR="004B0B7A" w:rsidRPr="00B732C4" w:rsidRDefault="002C2BD9" w:rsidP="00BA075A">
      <w:pPr>
        <w:pStyle w:val="NoSpacing"/>
        <w:numPr>
          <w:ilvl w:val="0"/>
          <w:numId w:val="4"/>
        </w:numPr>
        <w:rPr>
          <w:rFonts w:ascii="Georgia" w:hAnsi="Georgia" w:cstheme="minorHAnsi"/>
        </w:rPr>
      </w:pPr>
      <w:r w:rsidRPr="00B732C4">
        <w:rPr>
          <w:rFonts w:ascii="Georgia" w:hAnsi="Georgia" w:cstheme="minorHAnsi"/>
        </w:rPr>
        <w:t>*</w:t>
      </w:r>
      <w:r w:rsidR="00427AD0" w:rsidRPr="00B732C4">
        <w:rPr>
          <w:rFonts w:ascii="Georgia" w:hAnsi="Georgia" w:cstheme="minorHAnsi"/>
        </w:rPr>
        <w:t>Drew Hart, “</w:t>
      </w:r>
      <w:proofErr w:type="spellStart"/>
      <w:r w:rsidRPr="00B732C4">
        <w:rPr>
          <w:rFonts w:ascii="Georgia" w:hAnsi="Georgia" w:cstheme="minorHAnsi"/>
        </w:rPr>
        <w:t>Anablacktivism</w:t>
      </w:r>
      <w:proofErr w:type="spellEnd"/>
      <w:r w:rsidR="00CD38E6" w:rsidRPr="00B732C4">
        <w:rPr>
          <w:rFonts w:ascii="Georgia" w:hAnsi="Georgia" w:cstheme="minorHAnsi"/>
        </w:rPr>
        <w:t>: Following Jesus the Liberator</w:t>
      </w:r>
      <w:r w:rsidRPr="00B732C4">
        <w:rPr>
          <w:rFonts w:ascii="Georgia" w:hAnsi="Georgia" w:cstheme="minorHAnsi"/>
        </w:rPr>
        <w:t xml:space="preserve"> and Peacemaker in the 21</w:t>
      </w:r>
      <w:r w:rsidRPr="00B732C4">
        <w:rPr>
          <w:rFonts w:ascii="Georgia" w:hAnsi="Georgia" w:cstheme="minorHAnsi"/>
          <w:vertAlign w:val="superscript"/>
        </w:rPr>
        <w:t>st</w:t>
      </w:r>
      <w:r w:rsidRPr="00B732C4">
        <w:rPr>
          <w:rFonts w:ascii="Georgia" w:hAnsi="Georgia" w:cstheme="minorHAnsi"/>
        </w:rPr>
        <w:t xml:space="preserve"> Century,” in </w:t>
      </w:r>
      <w:r w:rsidRPr="00B732C4">
        <w:rPr>
          <w:rFonts w:ascii="Georgia" w:hAnsi="Georgia" w:cstheme="minorHAnsi"/>
          <w:i/>
        </w:rPr>
        <w:t>A Living Alternative</w:t>
      </w:r>
      <w:r w:rsidRPr="00B732C4">
        <w:rPr>
          <w:rFonts w:ascii="Georgia" w:hAnsi="Georgia" w:cstheme="minorHAnsi"/>
        </w:rPr>
        <w:t xml:space="preserve">, </w:t>
      </w:r>
      <w:r w:rsidR="00E672CD" w:rsidRPr="00B732C4">
        <w:rPr>
          <w:rFonts w:ascii="Georgia" w:hAnsi="Georgia" w:cstheme="minorHAnsi"/>
        </w:rPr>
        <w:t xml:space="preserve">ed. Joanna </w:t>
      </w:r>
      <w:proofErr w:type="spellStart"/>
      <w:r w:rsidR="00E672CD" w:rsidRPr="00B732C4">
        <w:rPr>
          <w:rFonts w:ascii="Georgia" w:hAnsi="Georgia" w:cstheme="minorHAnsi"/>
        </w:rPr>
        <w:t>Harader</w:t>
      </w:r>
      <w:proofErr w:type="spellEnd"/>
      <w:r w:rsidR="00E672CD" w:rsidRPr="00B732C4">
        <w:rPr>
          <w:rFonts w:ascii="Georgia" w:hAnsi="Georgia" w:cstheme="minorHAnsi"/>
        </w:rPr>
        <w:t xml:space="preserve"> and A.O. Green (New York: </w:t>
      </w:r>
      <w:proofErr w:type="spellStart"/>
      <w:r w:rsidR="00E672CD" w:rsidRPr="00B732C4">
        <w:rPr>
          <w:rFonts w:ascii="Georgia" w:hAnsi="Georgia" w:cstheme="minorHAnsi"/>
        </w:rPr>
        <w:t>Ettelloc</w:t>
      </w:r>
      <w:proofErr w:type="spellEnd"/>
      <w:r w:rsidR="00E672CD" w:rsidRPr="00B732C4">
        <w:rPr>
          <w:rFonts w:ascii="Georgia" w:hAnsi="Georgia" w:cstheme="minorHAnsi"/>
        </w:rPr>
        <w:t xml:space="preserve"> Publishing, 2014), </w:t>
      </w:r>
      <w:r w:rsidRPr="00B732C4">
        <w:rPr>
          <w:rFonts w:ascii="Georgia" w:hAnsi="Georgia" w:cstheme="minorHAnsi"/>
        </w:rPr>
        <w:t>203-217.</w:t>
      </w:r>
    </w:p>
    <w:p w:rsidR="009245E6" w:rsidRPr="00B732C4" w:rsidRDefault="00427AD0" w:rsidP="00B732C4">
      <w:pPr>
        <w:pStyle w:val="Heading2"/>
        <w:rPr>
          <w:rFonts w:ascii="Georgia" w:hAnsi="Georgia"/>
          <w:sz w:val="22"/>
          <w:szCs w:val="22"/>
        </w:rPr>
      </w:pPr>
      <w:r w:rsidRPr="00B732C4">
        <w:rPr>
          <w:rFonts w:ascii="Georgia" w:hAnsi="Georgia"/>
          <w:sz w:val="22"/>
          <w:szCs w:val="22"/>
        </w:rPr>
        <w:t xml:space="preserve">12. </w:t>
      </w:r>
      <w:r w:rsidR="00234159" w:rsidRPr="00B732C4">
        <w:rPr>
          <w:rFonts w:ascii="Georgia" w:hAnsi="Georgia"/>
          <w:sz w:val="22"/>
          <w:szCs w:val="22"/>
        </w:rPr>
        <w:t xml:space="preserve">December 3: </w:t>
      </w:r>
      <w:r w:rsidRPr="00B732C4">
        <w:rPr>
          <w:rFonts w:ascii="Georgia" w:hAnsi="Georgia"/>
          <w:sz w:val="22"/>
          <w:szCs w:val="22"/>
        </w:rPr>
        <w:t>Student p</w:t>
      </w:r>
      <w:r w:rsidR="009E63BC" w:rsidRPr="00B732C4">
        <w:rPr>
          <w:rFonts w:ascii="Georgia" w:hAnsi="Georgia"/>
          <w:sz w:val="22"/>
          <w:szCs w:val="22"/>
        </w:rPr>
        <w:t>resentations</w:t>
      </w:r>
    </w:p>
    <w:p w:rsidR="00113627" w:rsidRPr="00842B4E" w:rsidRDefault="00842B4E" w:rsidP="00BA075A">
      <w:pPr>
        <w:pStyle w:val="NoSpacing"/>
        <w:rPr>
          <w:rFonts w:ascii="Georgia" w:hAnsi="Georgia"/>
          <w:i/>
        </w:rPr>
      </w:pPr>
      <w:r w:rsidRPr="00842B4E">
        <w:rPr>
          <w:rFonts w:ascii="Georgia" w:hAnsi="Georgia"/>
          <w:i/>
        </w:rPr>
        <w:t>F</w:t>
      </w:r>
      <w:r w:rsidR="00113627" w:rsidRPr="00842B4E">
        <w:rPr>
          <w:rFonts w:ascii="Georgia" w:hAnsi="Georgia"/>
          <w:i/>
        </w:rPr>
        <w:t>inal</w:t>
      </w:r>
      <w:r w:rsidRPr="00842B4E">
        <w:rPr>
          <w:rFonts w:ascii="Georgia" w:hAnsi="Georgia"/>
          <w:i/>
        </w:rPr>
        <w:t xml:space="preserve"> assignment due December 12</w:t>
      </w:r>
    </w:p>
    <w:p w:rsidR="00427AD0" w:rsidRDefault="00427AD0" w:rsidP="00BA075A">
      <w:pPr>
        <w:pStyle w:val="NoSpacing"/>
        <w:rPr>
          <w:rFonts w:ascii="Georgia" w:hAnsi="Georgia"/>
          <w:b/>
          <w:u w:val="single"/>
        </w:rPr>
      </w:pPr>
    </w:p>
    <w:p w:rsidR="00E168E1" w:rsidRPr="00F91C2D" w:rsidRDefault="00E168E1" w:rsidP="00E168E1">
      <w:pPr>
        <w:pStyle w:val="Heading1"/>
        <w:rPr>
          <w:rFonts w:ascii="Georgia" w:hAnsi="Georgia"/>
          <w:sz w:val="24"/>
          <w:szCs w:val="24"/>
        </w:rPr>
      </w:pPr>
      <w:proofErr w:type="spellStart"/>
      <w:r w:rsidRPr="00F91C2D">
        <w:rPr>
          <w:rFonts w:ascii="Georgia" w:hAnsi="Georgia"/>
          <w:sz w:val="24"/>
          <w:szCs w:val="24"/>
        </w:rPr>
        <w:t>UWaterloo</w:t>
      </w:r>
      <w:proofErr w:type="spellEnd"/>
      <w:r w:rsidRPr="00F91C2D">
        <w:rPr>
          <w:rFonts w:ascii="Georgia" w:hAnsi="Georgia"/>
          <w:sz w:val="24"/>
          <w:szCs w:val="24"/>
        </w:rPr>
        <w:t xml:space="preserve"> Policies:</w:t>
      </w:r>
    </w:p>
    <w:p w:rsidR="00E168E1" w:rsidRPr="00E168E1" w:rsidRDefault="00E168E1" w:rsidP="00E168E1">
      <w:pPr>
        <w:pStyle w:val="Heading2"/>
        <w:rPr>
          <w:rFonts w:ascii="Georgia" w:hAnsi="Georgia"/>
          <w:b w:val="0"/>
          <w:sz w:val="22"/>
          <w:szCs w:val="22"/>
        </w:rPr>
      </w:pPr>
      <w:bookmarkStart w:id="0" w:name="_Toc488235632"/>
      <w:r w:rsidRPr="00E168E1">
        <w:rPr>
          <w:rFonts w:ascii="Georgia" w:hAnsi="Georgia"/>
          <w:sz w:val="22"/>
          <w:szCs w:val="22"/>
        </w:rPr>
        <w:t>Academic Integrity</w:t>
      </w:r>
      <w:bookmarkEnd w:id="0"/>
    </w:p>
    <w:p w:rsidR="00E168E1" w:rsidRPr="00E168E1" w:rsidRDefault="00E168E1" w:rsidP="00E168E1">
      <w:pPr>
        <w:pStyle w:val="NoSpacing"/>
        <w:rPr>
          <w:rFonts w:ascii="Georgia" w:eastAsia="Times New Roman" w:hAnsi="Georgia" w:cs="Times New Roman"/>
        </w:rPr>
      </w:pPr>
      <w:r w:rsidRPr="00E168E1">
        <w:rPr>
          <w:rStyle w:val="Heading3Char"/>
          <w:rFonts w:ascii="Georgia" w:eastAsiaTheme="minorHAnsi" w:hAnsi="Georgia"/>
          <w:b w:val="0"/>
          <w:i/>
          <w:sz w:val="22"/>
          <w:szCs w:val="22"/>
        </w:rPr>
        <w:t>Academic Integrity</w:t>
      </w:r>
      <w:r w:rsidRPr="00E168E1">
        <w:rPr>
          <w:rFonts w:ascii="Georgia" w:eastAsia="Times New Roman" w:hAnsi="Georgia" w:cs="Times New Roman"/>
        </w:rPr>
        <w:t>:</w:t>
      </w:r>
      <w:r w:rsidRPr="00E168E1">
        <w:rPr>
          <w:rFonts w:ascii="Georgia" w:eastAsia="Times New Roman" w:hAnsi="Georgia" w:cs="Times New Roman"/>
          <w:b/>
        </w:rPr>
        <w:t xml:space="preserve"> </w:t>
      </w:r>
      <w:r w:rsidRPr="00E168E1">
        <w:rPr>
          <w:rFonts w:ascii="Georgia" w:eastAsia="Times New Roman" w:hAnsi="Georgia" w:cs="Times New Roman"/>
        </w:rPr>
        <w:t xml:space="preserve">In order to maintain a culture of academic integrity, members of the University of Waterloo </w:t>
      </w:r>
      <w:proofErr w:type="gramStart"/>
      <w:r w:rsidRPr="00E168E1">
        <w:rPr>
          <w:rFonts w:ascii="Georgia" w:eastAsia="Times New Roman" w:hAnsi="Georgia" w:cs="Times New Roman"/>
        </w:rPr>
        <w:t>are expected</w:t>
      </w:r>
      <w:proofErr w:type="gramEnd"/>
      <w:r w:rsidRPr="00E168E1">
        <w:rPr>
          <w:rFonts w:ascii="Georgia" w:eastAsia="Times New Roman" w:hAnsi="Georgia" w:cs="Times New Roman"/>
        </w:rPr>
        <w:t xml:space="preserve"> to promote honesty, trust, fairness, respect and responsibility. See the </w:t>
      </w:r>
      <w:hyperlink r:id="rId14" w:history="1">
        <w:r w:rsidRPr="00E168E1">
          <w:rPr>
            <w:rStyle w:val="Hyperlink"/>
            <w:rFonts w:ascii="Georgia" w:eastAsia="Times New Roman" w:hAnsi="Georgia" w:cs="Times New Roman"/>
          </w:rPr>
          <w:t>Academic Integrity link</w:t>
        </w:r>
      </w:hyperlink>
      <w:r w:rsidRPr="00E168E1">
        <w:rPr>
          <w:rFonts w:ascii="Georgia" w:eastAsia="Times New Roman" w:hAnsi="Georgia" w:cs="Times New Roman"/>
        </w:rPr>
        <w:t xml:space="preserve"> and </w:t>
      </w:r>
      <w:hyperlink r:id="rId15" w:history="1">
        <w:r w:rsidRPr="00E168E1">
          <w:rPr>
            <w:rStyle w:val="Hyperlink"/>
            <w:rFonts w:ascii="Georgia" w:eastAsia="Times New Roman" w:hAnsi="Georgia" w:cs="Times New Roman"/>
          </w:rPr>
          <w:t xml:space="preserve">Ethical </w:t>
        </w:r>
        <w:proofErr w:type="spellStart"/>
        <w:r w:rsidRPr="00E168E1">
          <w:rPr>
            <w:rStyle w:val="Hyperlink"/>
            <w:rFonts w:ascii="Georgia" w:eastAsia="Times New Roman" w:hAnsi="Georgia" w:cs="Times New Roman"/>
          </w:rPr>
          <w:t>behaviour</w:t>
        </w:r>
        <w:proofErr w:type="spellEnd"/>
        <w:r w:rsidRPr="00E168E1">
          <w:rPr>
            <w:rStyle w:val="Hyperlink"/>
            <w:rFonts w:ascii="Georgia" w:eastAsia="Times New Roman" w:hAnsi="Georgia" w:cs="Times New Roman"/>
          </w:rPr>
          <w:t xml:space="preserve"> link</w:t>
        </w:r>
      </w:hyperlink>
    </w:p>
    <w:p w:rsidR="00E168E1" w:rsidRPr="00E168E1" w:rsidRDefault="00E168E1" w:rsidP="00E168E1">
      <w:pPr>
        <w:pStyle w:val="NoSpacing"/>
        <w:rPr>
          <w:rFonts w:ascii="Georgia" w:eastAsia="Times New Roman" w:hAnsi="Georgia" w:cs="Times New Roman"/>
        </w:rPr>
      </w:pPr>
      <w:r w:rsidRPr="00E168E1">
        <w:rPr>
          <w:rStyle w:val="Heading3Char"/>
          <w:rFonts w:ascii="Georgia" w:eastAsiaTheme="minorHAnsi" w:hAnsi="Georgia"/>
          <w:b w:val="0"/>
          <w:i/>
          <w:sz w:val="22"/>
          <w:szCs w:val="22"/>
        </w:rPr>
        <w:t>Discipline</w:t>
      </w:r>
      <w:r w:rsidRPr="00E168E1">
        <w:rPr>
          <w:rFonts w:ascii="Georgia" w:eastAsia="Times New Roman" w:hAnsi="Georgia" w:cs="Times New Roman"/>
        </w:rPr>
        <w:t xml:space="preserve">: A student </w:t>
      </w:r>
      <w:proofErr w:type="gramStart"/>
      <w:r w:rsidRPr="00E168E1">
        <w:rPr>
          <w:rFonts w:ascii="Georgia" w:eastAsia="Times New Roman" w:hAnsi="Georgia" w:cs="Times New Roman"/>
        </w:rPr>
        <w:t>is expected</w:t>
      </w:r>
      <w:proofErr w:type="gramEnd"/>
      <w:r w:rsidRPr="00E168E1">
        <w:rPr>
          <w:rFonts w:ascii="Georgia" w:eastAsia="Times New Roman" w:hAnsi="Georgia" w:cs="Times New Roman"/>
        </w:rPr>
        <w:t xml:space="preserve">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advisory, or the Undergraduate Associate Dean of Arts. When misconduct has been found to </w:t>
      </w:r>
      <w:proofErr w:type="gramStart"/>
      <w:r w:rsidRPr="00E168E1">
        <w:rPr>
          <w:rFonts w:ascii="Georgia" w:eastAsia="Times New Roman" w:hAnsi="Georgia" w:cs="Times New Roman"/>
        </w:rPr>
        <w:t>have occurred</w:t>
      </w:r>
      <w:proofErr w:type="gramEnd"/>
      <w:r w:rsidRPr="00E168E1">
        <w:rPr>
          <w:rFonts w:ascii="Georgia" w:eastAsia="Times New Roman" w:hAnsi="Georgia" w:cs="Times New Roman"/>
        </w:rPr>
        <w:t xml:space="preserve">, disciplinary penalties will be imposed under Policy 71 – Student Discipline. For information on categories of offenses and types of penalties, students should refer to </w:t>
      </w:r>
      <w:hyperlink r:id="rId16" w:history="1">
        <w:r w:rsidRPr="00E168E1">
          <w:rPr>
            <w:rFonts w:ascii="Georgia" w:eastAsia="Times New Roman" w:hAnsi="Georgia" w:cs="Times New Roman"/>
            <w:u w:val="single"/>
          </w:rPr>
          <w:t>Policy 71 - Student Discipline</w:t>
        </w:r>
      </w:hyperlink>
      <w:r w:rsidRPr="00E168E1">
        <w:rPr>
          <w:rFonts w:ascii="Georgia" w:eastAsia="Times New Roman" w:hAnsi="Georgia" w:cs="Times New Roman"/>
        </w:rPr>
        <w:t xml:space="preserve">. For typical </w:t>
      </w:r>
      <w:proofErr w:type="gramStart"/>
      <w:r w:rsidRPr="00E168E1">
        <w:rPr>
          <w:rFonts w:ascii="Georgia" w:eastAsia="Times New Roman" w:hAnsi="Georgia" w:cs="Times New Roman"/>
        </w:rPr>
        <w:t>penalties</w:t>
      </w:r>
      <w:proofErr w:type="gramEnd"/>
      <w:r w:rsidRPr="00E168E1">
        <w:rPr>
          <w:rFonts w:ascii="Georgia" w:eastAsia="Times New Roman" w:hAnsi="Georgia" w:cs="Times New Roman"/>
        </w:rPr>
        <w:t xml:space="preserve"> check </w:t>
      </w:r>
      <w:hyperlink r:id="rId17" w:history="1">
        <w:r w:rsidRPr="00E168E1">
          <w:rPr>
            <w:rFonts w:ascii="Georgia" w:eastAsia="Times New Roman" w:hAnsi="Georgia" w:cs="Times New Roman"/>
            <w:u w:val="single"/>
          </w:rPr>
          <w:t>Guidelines for the Assessment of Penalties</w:t>
        </w:r>
      </w:hyperlink>
      <w:r w:rsidRPr="00E168E1">
        <w:rPr>
          <w:rFonts w:ascii="Georgia" w:eastAsia="Times New Roman" w:hAnsi="Georgia" w:cs="Times New Roman"/>
        </w:rPr>
        <w:t>.</w:t>
      </w:r>
    </w:p>
    <w:p w:rsidR="00E168E1" w:rsidRPr="00E168E1" w:rsidRDefault="00E168E1" w:rsidP="00E168E1">
      <w:pPr>
        <w:pStyle w:val="NoSpacing"/>
        <w:rPr>
          <w:rFonts w:ascii="Georgia" w:eastAsia="Times New Roman" w:hAnsi="Georgia" w:cs="Times New Roman"/>
          <w:b/>
          <w:i/>
        </w:rPr>
      </w:pPr>
      <w:r w:rsidRPr="00E168E1">
        <w:rPr>
          <w:rStyle w:val="Heading3Char"/>
          <w:rFonts w:ascii="Georgia" w:eastAsiaTheme="minorHAnsi" w:hAnsi="Georgia"/>
          <w:b w:val="0"/>
          <w:i/>
          <w:sz w:val="22"/>
          <w:szCs w:val="22"/>
        </w:rPr>
        <w:t>Grievance</w:t>
      </w:r>
      <w:r w:rsidRPr="00E168E1">
        <w:rPr>
          <w:rFonts w:ascii="Georgia" w:eastAsia="Times New Roman" w:hAnsi="Georgia" w:cs="Times New Roman"/>
        </w:rPr>
        <w:t>:</w:t>
      </w:r>
      <w:r w:rsidRPr="00E168E1">
        <w:rPr>
          <w:rFonts w:ascii="Georgia" w:eastAsia="Times New Roman" w:hAnsi="Georgia" w:cs="Times New Roman"/>
          <w:b/>
        </w:rPr>
        <w:t xml:space="preserve"> </w:t>
      </w:r>
      <w:r w:rsidRPr="00E168E1">
        <w:rPr>
          <w:rFonts w:ascii="Georgia" w:eastAsia="Times New Roman" w:hAnsi="Georgia" w:cs="Times New Roman"/>
        </w:rPr>
        <w:t xml:space="preserve">A student who believes that a decision affecting some aspect of his/her university life has been unfair or unreasonable may have grounds for initiating a grievance. Read </w:t>
      </w:r>
      <w:hyperlink r:id="rId18" w:history="1">
        <w:r w:rsidRPr="00E168E1">
          <w:rPr>
            <w:rFonts w:ascii="Georgia" w:eastAsia="Times New Roman" w:hAnsi="Georgia" w:cs="Times New Roman"/>
            <w:u w:val="single"/>
          </w:rPr>
          <w:t>Policy 70 - Student Petitions and Grievances</w:t>
        </w:r>
      </w:hyperlink>
      <w:r w:rsidRPr="00E168E1">
        <w:rPr>
          <w:rFonts w:ascii="Georgia" w:eastAsia="Times New Roman" w:hAnsi="Georgia" w:cs="Times New Roman"/>
        </w:rPr>
        <w:t>, Section 4. When in doubt, please be certain to contact the department’s administrative assistant who will provide further assistance.</w:t>
      </w:r>
    </w:p>
    <w:p w:rsidR="00E168E1" w:rsidRPr="00E168E1" w:rsidRDefault="00E168E1" w:rsidP="00E168E1">
      <w:pPr>
        <w:pStyle w:val="NoSpacing"/>
        <w:rPr>
          <w:rFonts w:ascii="Georgia" w:eastAsia="Times New Roman" w:hAnsi="Georgia" w:cs="Times New Roman"/>
        </w:rPr>
      </w:pPr>
      <w:r w:rsidRPr="00E168E1">
        <w:rPr>
          <w:rStyle w:val="Heading3Char"/>
          <w:rFonts w:ascii="Georgia" w:eastAsiaTheme="minorHAnsi" w:hAnsi="Georgia"/>
          <w:b w:val="0"/>
          <w:i/>
          <w:sz w:val="22"/>
          <w:szCs w:val="22"/>
        </w:rPr>
        <w:t>Appeals</w:t>
      </w:r>
      <w:r w:rsidRPr="00E168E1">
        <w:rPr>
          <w:rFonts w:ascii="Georgia" w:eastAsia="Times New Roman" w:hAnsi="Georgia" w:cs="Times New Roman"/>
        </w:rPr>
        <w:t>:</w:t>
      </w:r>
      <w:r w:rsidRPr="00E168E1">
        <w:rPr>
          <w:rFonts w:ascii="Georgia" w:eastAsia="Times New Roman" w:hAnsi="Georgia" w:cs="Times New Roman"/>
          <w:b/>
        </w:rPr>
        <w:t xml:space="preserve"> </w:t>
      </w:r>
      <w:r w:rsidRPr="00E168E1">
        <w:rPr>
          <w:rFonts w:ascii="Georgia" w:eastAsia="Times New Roman" w:hAnsi="Georgia" w:cs="Times New Roman"/>
        </w:rP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19" w:history="1">
        <w:r w:rsidRPr="00E168E1">
          <w:rPr>
            <w:rFonts w:ascii="Georgia" w:eastAsia="Times New Roman" w:hAnsi="Georgia" w:cs="Times New Roman"/>
            <w:u w:val="single"/>
          </w:rPr>
          <w:t>Policy 72 - Student Appeals</w:t>
        </w:r>
      </w:hyperlink>
      <w:r w:rsidRPr="00E168E1">
        <w:rPr>
          <w:rFonts w:ascii="Georgia" w:eastAsia="Times New Roman" w:hAnsi="Georgia" w:cs="Times New Roman"/>
        </w:rPr>
        <w:t>.</w:t>
      </w:r>
    </w:p>
    <w:p w:rsidR="00E168E1" w:rsidRPr="00E168E1" w:rsidRDefault="00E168E1" w:rsidP="00E168E1">
      <w:pPr>
        <w:pStyle w:val="Heading1"/>
        <w:rPr>
          <w:rFonts w:ascii="Georgia" w:hAnsi="Georgia"/>
          <w:sz w:val="22"/>
          <w:szCs w:val="22"/>
        </w:rPr>
      </w:pPr>
      <w:r w:rsidRPr="00E168E1">
        <w:rPr>
          <w:rFonts w:ascii="Georgia" w:hAnsi="Georgia"/>
          <w:sz w:val="22"/>
          <w:szCs w:val="22"/>
        </w:rPr>
        <w:t>Other information</w:t>
      </w:r>
    </w:p>
    <w:p w:rsidR="00E168E1" w:rsidRPr="00E168E1" w:rsidRDefault="00E168E1" w:rsidP="00E168E1">
      <w:pPr>
        <w:pStyle w:val="Heading2"/>
        <w:rPr>
          <w:rFonts w:ascii="Georgia" w:hAnsi="Georgia"/>
          <w:b w:val="0"/>
          <w:sz w:val="22"/>
          <w:szCs w:val="22"/>
        </w:rPr>
      </w:pPr>
      <w:bookmarkStart w:id="1" w:name="_Toc488235633"/>
      <w:r w:rsidRPr="00E168E1">
        <w:rPr>
          <w:rFonts w:ascii="Georgia" w:hAnsi="Georgia"/>
          <w:sz w:val="22"/>
          <w:szCs w:val="22"/>
        </w:rPr>
        <w:t>Accommodation for Students with Disabilities</w:t>
      </w:r>
      <w:bookmarkEnd w:id="1"/>
    </w:p>
    <w:p w:rsidR="00E168E1" w:rsidRPr="00E168E1" w:rsidRDefault="00E168E1" w:rsidP="00E168E1">
      <w:pPr>
        <w:pStyle w:val="NoSpacing"/>
        <w:rPr>
          <w:rFonts w:ascii="Georgia" w:hAnsi="Georgia"/>
          <w:lang w:val="en-GB"/>
        </w:rPr>
      </w:pPr>
      <w:r w:rsidRPr="00E168E1">
        <w:rPr>
          <w:rFonts w:ascii="Georgia" w:hAnsi="Georgia"/>
          <w:lang w:val="en-GB"/>
        </w:rPr>
        <w:t xml:space="preserve">The </w:t>
      </w:r>
      <w:proofErr w:type="spellStart"/>
      <w:r w:rsidRPr="00E168E1">
        <w:rPr>
          <w:rFonts w:ascii="Georgia" w:hAnsi="Georgia"/>
          <w:lang w:val="en-GB"/>
        </w:rPr>
        <w:t>AccessAbility</w:t>
      </w:r>
      <w:proofErr w:type="spellEnd"/>
      <w:r w:rsidRPr="00E168E1">
        <w:rPr>
          <w:rFonts w:ascii="Georgia" w:hAnsi="Georgia"/>
          <w:lang w:val="en-GB"/>
        </w:rPr>
        <w:t xml:space="preserve"> Services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  </w:t>
      </w:r>
      <w:hyperlink r:id="rId20" w:history="1">
        <w:proofErr w:type="spellStart"/>
        <w:r w:rsidRPr="00E168E1">
          <w:rPr>
            <w:rStyle w:val="Hyperlink"/>
            <w:rFonts w:ascii="Georgia" w:hAnsi="Georgia"/>
            <w:lang w:val="en-GB"/>
          </w:rPr>
          <w:t>AccessAbility</w:t>
        </w:r>
        <w:proofErr w:type="spellEnd"/>
        <w:r w:rsidRPr="00E168E1">
          <w:rPr>
            <w:rStyle w:val="Hyperlink"/>
            <w:rFonts w:ascii="Georgia" w:hAnsi="Georgia"/>
            <w:lang w:val="en-GB"/>
          </w:rPr>
          <w:t xml:space="preserve"> Services link</w:t>
        </w:r>
      </w:hyperlink>
    </w:p>
    <w:p w:rsidR="00E168E1" w:rsidRPr="00E168E1" w:rsidRDefault="00E168E1" w:rsidP="00E168E1">
      <w:pPr>
        <w:pStyle w:val="Heading2"/>
        <w:rPr>
          <w:rFonts w:ascii="Georgia" w:hAnsi="Georgia"/>
          <w:b w:val="0"/>
          <w:sz w:val="22"/>
          <w:szCs w:val="22"/>
        </w:rPr>
      </w:pPr>
      <w:bookmarkStart w:id="2" w:name="_Toc488235636"/>
      <w:r w:rsidRPr="00E168E1">
        <w:rPr>
          <w:rFonts w:ascii="Georgia" w:hAnsi="Georgia"/>
          <w:sz w:val="22"/>
          <w:szCs w:val="22"/>
        </w:rPr>
        <w:t>Counselling Services</w:t>
      </w:r>
    </w:p>
    <w:p w:rsidR="00E168E1" w:rsidRPr="00E168E1" w:rsidRDefault="00E168E1" w:rsidP="00E168E1">
      <w:pPr>
        <w:pStyle w:val="NoSpacing"/>
        <w:rPr>
          <w:rFonts w:ascii="Georgia" w:hAnsi="Georgia"/>
        </w:rPr>
      </w:pPr>
      <w:r w:rsidRPr="00E168E1">
        <w:rPr>
          <w:rFonts w:ascii="Georgia" w:hAnsi="Georgia"/>
        </w:rPr>
        <w:t xml:space="preserve">Counselling Services provides free confidential counselling, in both individual and group sessions, with qualified professionals to help registered students, faculty and staff with personal concerns, educational career decisions, and strategies to studies and exams: </w:t>
      </w:r>
      <w:hyperlink r:id="rId21" w:history="1">
        <w:r w:rsidRPr="00E168E1">
          <w:rPr>
            <w:rStyle w:val="Hyperlink"/>
            <w:rFonts w:ascii="Georgia" w:hAnsi="Georgia"/>
          </w:rPr>
          <w:t>Counselling Services link</w:t>
        </w:r>
      </w:hyperlink>
      <w:r w:rsidRPr="00E168E1">
        <w:rPr>
          <w:rFonts w:ascii="Georgia" w:hAnsi="Georgia"/>
        </w:rPr>
        <w:t>, ext. 33528, NH Room 2080.</w:t>
      </w:r>
    </w:p>
    <w:p w:rsidR="00E168E1" w:rsidRPr="00E168E1" w:rsidRDefault="00E168E1" w:rsidP="00E168E1">
      <w:pPr>
        <w:pStyle w:val="Heading2"/>
        <w:rPr>
          <w:rFonts w:ascii="Georgia" w:hAnsi="Georgia"/>
          <w:b w:val="0"/>
          <w:sz w:val="22"/>
          <w:szCs w:val="22"/>
        </w:rPr>
      </w:pPr>
      <w:r w:rsidRPr="00E168E1">
        <w:rPr>
          <w:rFonts w:ascii="Georgia" w:hAnsi="Georgia"/>
          <w:sz w:val="22"/>
          <w:szCs w:val="22"/>
        </w:rPr>
        <w:t>Accommodation for Illness</w:t>
      </w:r>
    </w:p>
    <w:p w:rsidR="00E168E1" w:rsidRPr="00E168E1" w:rsidRDefault="00E168E1" w:rsidP="00E168E1">
      <w:pPr>
        <w:pStyle w:val="NoSpacing"/>
        <w:rPr>
          <w:rFonts w:ascii="Georgia" w:hAnsi="Georgia"/>
          <w:u w:val="single"/>
        </w:rPr>
      </w:pPr>
      <w:r w:rsidRPr="00E168E1">
        <w:rPr>
          <w:rFonts w:ascii="Georgia" w:hAnsi="Georgia"/>
        </w:rPr>
        <w:t xml:space="preserve">A medical certificate presented in support of an official petition for relief from normal academic requirements must provide all of the information requested on the “University of Waterloo Verification of Illness” form or it </w:t>
      </w:r>
      <w:proofErr w:type="gramStart"/>
      <w:r w:rsidRPr="00E168E1">
        <w:rPr>
          <w:rFonts w:ascii="Georgia" w:hAnsi="Georgia"/>
        </w:rPr>
        <w:t>will not be accepted</w:t>
      </w:r>
      <w:proofErr w:type="gramEnd"/>
      <w:r w:rsidRPr="00E168E1">
        <w:rPr>
          <w:rFonts w:ascii="Georgia" w:hAnsi="Georgia"/>
        </w:rPr>
        <w:t xml:space="preserve">. More information </w:t>
      </w:r>
      <w:proofErr w:type="gramStart"/>
      <w:r w:rsidRPr="00E168E1">
        <w:rPr>
          <w:rFonts w:ascii="Georgia" w:hAnsi="Georgia"/>
        </w:rPr>
        <w:t>can be obtained</w:t>
      </w:r>
      <w:proofErr w:type="gramEnd"/>
      <w:r w:rsidRPr="00E168E1">
        <w:rPr>
          <w:rFonts w:ascii="Georgia" w:hAnsi="Georgia"/>
        </w:rPr>
        <w:t xml:space="preserve"> from Health Services and the form is available in pdf.  </w:t>
      </w:r>
      <w:hyperlink r:id="rId22" w:history="1">
        <w:r w:rsidRPr="00E168E1">
          <w:rPr>
            <w:rStyle w:val="Hyperlink"/>
            <w:rFonts w:ascii="Georgia" w:hAnsi="Georgia"/>
          </w:rPr>
          <w:t>Medical Clinic link</w:t>
        </w:r>
      </w:hyperlink>
    </w:p>
    <w:p w:rsidR="00E168E1" w:rsidRPr="00E168E1" w:rsidRDefault="00E168E1" w:rsidP="00E168E1">
      <w:pPr>
        <w:pStyle w:val="Heading2"/>
        <w:rPr>
          <w:rFonts w:ascii="Georgia" w:hAnsi="Georgia"/>
          <w:b w:val="0"/>
          <w:sz w:val="22"/>
          <w:szCs w:val="22"/>
        </w:rPr>
      </w:pPr>
      <w:r w:rsidRPr="00E168E1">
        <w:rPr>
          <w:rFonts w:ascii="Georgia" w:hAnsi="Georgia"/>
          <w:sz w:val="22"/>
          <w:szCs w:val="22"/>
        </w:rPr>
        <w:t>The Writing and Communication Centre</w:t>
      </w:r>
    </w:p>
    <w:p w:rsidR="00670DE3" w:rsidRPr="00A23C84" w:rsidRDefault="00E168E1" w:rsidP="00A23C84">
      <w:pPr>
        <w:pStyle w:val="NoSpacing"/>
        <w:rPr>
          <w:rFonts w:ascii="Georgia" w:hAnsi="Georgia"/>
        </w:rPr>
      </w:pPr>
      <w:r w:rsidRPr="00E168E1">
        <w:rPr>
          <w:rFonts w:ascii="Georgia" w:hAnsi="Georgia"/>
        </w:rPr>
        <w:t>Writing and Communication Centre staff offer one-on-one support in planning assignments and presentations, using and documenting research, organizing and structuring papers, and revising for clarity and coherence. Make an appointment or drop in at the Library for quick questions or feedback. To book a 50-minute appointment and to see drop-in hours, visit</w:t>
      </w:r>
      <w:bookmarkEnd w:id="2"/>
      <w:r w:rsidRPr="00E168E1">
        <w:rPr>
          <w:rFonts w:ascii="Georgia" w:hAnsi="Georgia"/>
        </w:rPr>
        <w:t xml:space="preserve"> </w:t>
      </w:r>
      <w:hyperlink r:id="rId23" w:history="1">
        <w:r w:rsidRPr="00E168E1">
          <w:rPr>
            <w:rStyle w:val="Hyperlink"/>
            <w:rFonts w:ascii="Georgia" w:hAnsi="Georgia"/>
          </w:rPr>
          <w:t>Writing and Communication Centre link</w:t>
        </w:r>
      </w:hyperlink>
      <w:bookmarkStart w:id="3" w:name="_GoBack"/>
      <w:bookmarkEnd w:id="3"/>
    </w:p>
    <w:sectPr w:rsidR="00670DE3" w:rsidRPr="00A23C84">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6D" w:rsidRDefault="00FE146D">
      <w:pPr>
        <w:spacing w:after="0" w:line="240" w:lineRule="auto"/>
      </w:pPr>
      <w:r>
        <w:separator/>
      </w:r>
    </w:p>
  </w:endnote>
  <w:endnote w:type="continuationSeparator" w:id="0">
    <w:p w:rsidR="00FE146D" w:rsidRDefault="00FE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407673"/>
      <w:docPartObj>
        <w:docPartGallery w:val="Page Numbers (Bottom of Page)"/>
        <w:docPartUnique/>
      </w:docPartObj>
    </w:sdtPr>
    <w:sdtEndPr>
      <w:rPr>
        <w:rFonts w:asciiTheme="minorHAnsi" w:hAnsiTheme="minorHAnsi"/>
        <w:noProof/>
      </w:rPr>
    </w:sdtEndPr>
    <w:sdtContent>
      <w:p w:rsidR="00FE146D" w:rsidRPr="0003460D" w:rsidRDefault="00FE146D">
        <w:pPr>
          <w:pStyle w:val="Footer"/>
          <w:jc w:val="center"/>
          <w:rPr>
            <w:rFonts w:asciiTheme="minorHAnsi" w:hAnsiTheme="minorHAnsi"/>
          </w:rPr>
        </w:pPr>
        <w:r w:rsidRPr="0003460D">
          <w:rPr>
            <w:rFonts w:asciiTheme="minorHAnsi" w:hAnsiTheme="minorHAnsi"/>
          </w:rPr>
          <w:fldChar w:fldCharType="begin"/>
        </w:r>
        <w:r w:rsidRPr="0003460D">
          <w:rPr>
            <w:rFonts w:asciiTheme="minorHAnsi" w:hAnsiTheme="minorHAnsi"/>
          </w:rPr>
          <w:instrText xml:space="preserve"> PAGE   \* MERGEFORMAT </w:instrText>
        </w:r>
        <w:r w:rsidRPr="0003460D">
          <w:rPr>
            <w:rFonts w:asciiTheme="minorHAnsi" w:hAnsiTheme="minorHAnsi"/>
          </w:rPr>
          <w:fldChar w:fldCharType="separate"/>
        </w:r>
        <w:r w:rsidR="00A23C84">
          <w:rPr>
            <w:rFonts w:asciiTheme="minorHAnsi" w:hAnsiTheme="minorHAnsi"/>
            <w:noProof/>
          </w:rPr>
          <w:t>7</w:t>
        </w:r>
        <w:r w:rsidRPr="0003460D">
          <w:rPr>
            <w:rFonts w:asciiTheme="minorHAnsi" w:hAnsiTheme="minorHAnsi"/>
            <w:noProof/>
          </w:rPr>
          <w:fldChar w:fldCharType="end"/>
        </w:r>
      </w:p>
    </w:sdtContent>
  </w:sdt>
  <w:p w:rsidR="00FE146D" w:rsidRDefault="00FE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6D" w:rsidRDefault="00FE146D">
      <w:pPr>
        <w:spacing w:after="0" w:line="240" w:lineRule="auto"/>
      </w:pPr>
      <w:r>
        <w:separator/>
      </w:r>
    </w:p>
  </w:footnote>
  <w:footnote w:type="continuationSeparator" w:id="0">
    <w:p w:rsidR="00FE146D" w:rsidRDefault="00FE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6D" w:rsidRDefault="00FE1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B25"/>
    <w:multiLevelType w:val="hybridMultilevel"/>
    <w:tmpl w:val="4EA6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8BE"/>
    <w:multiLevelType w:val="hybridMultilevel"/>
    <w:tmpl w:val="A7FC0E0C"/>
    <w:lvl w:ilvl="0" w:tplc="658C2E7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E4E9D"/>
    <w:multiLevelType w:val="hybridMultilevel"/>
    <w:tmpl w:val="5D54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87992"/>
    <w:multiLevelType w:val="hybridMultilevel"/>
    <w:tmpl w:val="2856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E029C"/>
    <w:multiLevelType w:val="hybridMultilevel"/>
    <w:tmpl w:val="B17A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116FE"/>
    <w:multiLevelType w:val="hybridMultilevel"/>
    <w:tmpl w:val="8D7A2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E244A"/>
    <w:multiLevelType w:val="hybridMultilevel"/>
    <w:tmpl w:val="C218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55A78"/>
    <w:multiLevelType w:val="hybridMultilevel"/>
    <w:tmpl w:val="C080A1B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6527F"/>
    <w:multiLevelType w:val="hybridMultilevel"/>
    <w:tmpl w:val="75305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56F06"/>
    <w:multiLevelType w:val="hybridMultilevel"/>
    <w:tmpl w:val="767E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D5C4A"/>
    <w:multiLevelType w:val="hybridMultilevel"/>
    <w:tmpl w:val="884A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A3806"/>
    <w:multiLevelType w:val="hybridMultilevel"/>
    <w:tmpl w:val="14C0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25EED"/>
    <w:multiLevelType w:val="hybridMultilevel"/>
    <w:tmpl w:val="D3E4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E4AD8"/>
    <w:multiLevelType w:val="hybridMultilevel"/>
    <w:tmpl w:val="1ECE0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4D0FB0"/>
    <w:multiLevelType w:val="hybridMultilevel"/>
    <w:tmpl w:val="FE743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60E8C"/>
    <w:multiLevelType w:val="hybridMultilevel"/>
    <w:tmpl w:val="D3C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2"/>
  </w:num>
  <w:num w:numId="5">
    <w:abstractNumId w:val="6"/>
  </w:num>
  <w:num w:numId="6">
    <w:abstractNumId w:val="4"/>
  </w:num>
  <w:num w:numId="7">
    <w:abstractNumId w:val="0"/>
  </w:num>
  <w:num w:numId="8">
    <w:abstractNumId w:val="2"/>
  </w:num>
  <w:num w:numId="9">
    <w:abstractNumId w:val="8"/>
  </w:num>
  <w:num w:numId="10">
    <w:abstractNumId w:val="3"/>
  </w:num>
  <w:num w:numId="11">
    <w:abstractNumId w:val="5"/>
  </w:num>
  <w:num w:numId="12">
    <w:abstractNumId w:val="13"/>
  </w:num>
  <w:num w:numId="13">
    <w:abstractNumId w:val="7"/>
  </w:num>
  <w:num w:numId="14">
    <w:abstractNumId w:val="1"/>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5A"/>
    <w:rsid w:val="000057CE"/>
    <w:rsid w:val="00021C93"/>
    <w:rsid w:val="00034271"/>
    <w:rsid w:val="000546C8"/>
    <w:rsid w:val="00055F78"/>
    <w:rsid w:val="00066954"/>
    <w:rsid w:val="00067988"/>
    <w:rsid w:val="00094EAE"/>
    <w:rsid w:val="000A742D"/>
    <w:rsid w:val="000B5583"/>
    <w:rsid w:val="000C0DA2"/>
    <w:rsid w:val="000D1DCF"/>
    <w:rsid w:val="0010069C"/>
    <w:rsid w:val="001010CF"/>
    <w:rsid w:val="0010703B"/>
    <w:rsid w:val="00113627"/>
    <w:rsid w:val="00123B6E"/>
    <w:rsid w:val="00123BF1"/>
    <w:rsid w:val="001268AF"/>
    <w:rsid w:val="00127AD1"/>
    <w:rsid w:val="00145E4D"/>
    <w:rsid w:val="00176C3C"/>
    <w:rsid w:val="00184AE3"/>
    <w:rsid w:val="001B4CA4"/>
    <w:rsid w:val="001D5CC9"/>
    <w:rsid w:val="001E04A7"/>
    <w:rsid w:val="001F3B75"/>
    <w:rsid w:val="002008D8"/>
    <w:rsid w:val="00203AE4"/>
    <w:rsid w:val="00211313"/>
    <w:rsid w:val="00234159"/>
    <w:rsid w:val="00282DDD"/>
    <w:rsid w:val="00296C62"/>
    <w:rsid w:val="002A67AD"/>
    <w:rsid w:val="002B64B6"/>
    <w:rsid w:val="002C0FED"/>
    <w:rsid w:val="002C2BD9"/>
    <w:rsid w:val="002D7D62"/>
    <w:rsid w:val="002E61F7"/>
    <w:rsid w:val="00313708"/>
    <w:rsid w:val="00316E1F"/>
    <w:rsid w:val="00326A0A"/>
    <w:rsid w:val="0032746F"/>
    <w:rsid w:val="0033491F"/>
    <w:rsid w:val="00363ABB"/>
    <w:rsid w:val="00392585"/>
    <w:rsid w:val="003D4629"/>
    <w:rsid w:val="003F1A54"/>
    <w:rsid w:val="0040066E"/>
    <w:rsid w:val="00427AD0"/>
    <w:rsid w:val="00451F7C"/>
    <w:rsid w:val="00462BE9"/>
    <w:rsid w:val="004637BC"/>
    <w:rsid w:val="004646DE"/>
    <w:rsid w:val="0047032A"/>
    <w:rsid w:val="00473535"/>
    <w:rsid w:val="004770AA"/>
    <w:rsid w:val="004808AA"/>
    <w:rsid w:val="00487BEE"/>
    <w:rsid w:val="00494480"/>
    <w:rsid w:val="004B0B7A"/>
    <w:rsid w:val="004D349A"/>
    <w:rsid w:val="004F5031"/>
    <w:rsid w:val="004F7D7E"/>
    <w:rsid w:val="0050205A"/>
    <w:rsid w:val="00505312"/>
    <w:rsid w:val="00522800"/>
    <w:rsid w:val="00531ABC"/>
    <w:rsid w:val="00561D80"/>
    <w:rsid w:val="005957AB"/>
    <w:rsid w:val="005B2FAB"/>
    <w:rsid w:val="005C4B2E"/>
    <w:rsid w:val="005E779E"/>
    <w:rsid w:val="00623220"/>
    <w:rsid w:val="00643C67"/>
    <w:rsid w:val="006637C0"/>
    <w:rsid w:val="00670DE3"/>
    <w:rsid w:val="00677032"/>
    <w:rsid w:val="00692092"/>
    <w:rsid w:val="006B5729"/>
    <w:rsid w:val="006F7E45"/>
    <w:rsid w:val="0075336D"/>
    <w:rsid w:val="00783455"/>
    <w:rsid w:val="00785B7B"/>
    <w:rsid w:val="007A2175"/>
    <w:rsid w:val="007B3C58"/>
    <w:rsid w:val="007B3D68"/>
    <w:rsid w:val="007C2C1A"/>
    <w:rsid w:val="007D6C9C"/>
    <w:rsid w:val="007F4221"/>
    <w:rsid w:val="00816B11"/>
    <w:rsid w:val="00825D2B"/>
    <w:rsid w:val="00842B4E"/>
    <w:rsid w:val="0088758C"/>
    <w:rsid w:val="008C29A2"/>
    <w:rsid w:val="008E4E87"/>
    <w:rsid w:val="00915769"/>
    <w:rsid w:val="0091762E"/>
    <w:rsid w:val="00917F90"/>
    <w:rsid w:val="009245E6"/>
    <w:rsid w:val="009261E2"/>
    <w:rsid w:val="0094205B"/>
    <w:rsid w:val="00946881"/>
    <w:rsid w:val="009502B5"/>
    <w:rsid w:val="009622A2"/>
    <w:rsid w:val="009D34B8"/>
    <w:rsid w:val="009E63BC"/>
    <w:rsid w:val="00A00862"/>
    <w:rsid w:val="00A23C84"/>
    <w:rsid w:val="00A42CD2"/>
    <w:rsid w:val="00A62DD6"/>
    <w:rsid w:val="00A73D20"/>
    <w:rsid w:val="00A819B8"/>
    <w:rsid w:val="00A92690"/>
    <w:rsid w:val="00AA2E92"/>
    <w:rsid w:val="00AF4E68"/>
    <w:rsid w:val="00B01A4C"/>
    <w:rsid w:val="00B2303C"/>
    <w:rsid w:val="00B23084"/>
    <w:rsid w:val="00B249B8"/>
    <w:rsid w:val="00B34EF7"/>
    <w:rsid w:val="00B50959"/>
    <w:rsid w:val="00B732C4"/>
    <w:rsid w:val="00B86E90"/>
    <w:rsid w:val="00B874CC"/>
    <w:rsid w:val="00B94C60"/>
    <w:rsid w:val="00BA075A"/>
    <w:rsid w:val="00BB137A"/>
    <w:rsid w:val="00BD65EC"/>
    <w:rsid w:val="00BF7247"/>
    <w:rsid w:val="00C207DD"/>
    <w:rsid w:val="00C24B62"/>
    <w:rsid w:val="00C3177A"/>
    <w:rsid w:val="00C57996"/>
    <w:rsid w:val="00C734C4"/>
    <w:rsid w:val="00C85592"/>
    <w:rsid w:val="00CA41B8"/>
    <w:rsid w:val="00CB4034"/>
    <w:rsid w:val="00CD38E6"/>
    <w:rsid w:val="00CE1672"/>
    <w:rsid w:val="00D027EF"/>
    <w:rsid w:val="00D10A3C"/>
    <w:rsid w:val="00D45691"/>
    <w:rsid w:val="00D52EB2"/>
    <w:rsid w:val="00D86A8D"/>
    <w:rsid w:val="00DA0FE1"/>
    <w:rsid w:val="00DB5870"/>
    <w:rsid w:val="00DD0D21"/>
    <w:rsid w:val="00DE7DDF"/>
    <w:rsid w:val="00E168E1"/>
    <w:rsid w:val="00E3344D"/>
    <w:rsid w:val="00E6371A"/>
    <w:rsid w:val="00E65B40"/>
    <w:rsid w:val="00E672CD"/>
    <w:rsid w:val="00E74174"/>
    <w:rsid w:val="00E76DC1"/>
    <w:rsid w:val="00E80205"/>
    <w:rsid w:val="00E8708B"/>
    <w:rsid w:val="00EC5266"/>
    <w:rsid w:val="00EE4C50"/>
    <w:rsid w:val="00EE5BE3"/>
    <w:rsid w:val="00EF07B8"/>
    <w:rsid w:val="00F22E0B"/>
    <w:rsid w:val="00F30434"/>
    <w:rsid w:val="00F60404"/>
    <w:rsid w:val="00F94967"/>
    <w:rsid w:val="00FB71EF"/>
    <w:rsid w:val="00FC2841"/>
    <w:rsid w:val="00FC7A5E"/>
    <w:rsid w:val="00FD3B22"/>
    <w:rsid w:val="00FE146D"/>
    <w:rsid w:val="00FE1D25"/>
    <w:rsid w:val="00FE3C7A"/>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C99E"/>
  <w15:chartTrackingRefBased/>
  <w15:docId w15:val="{DF6AD6C0-FA21-4B85-BFE0-66B1BC5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5A"/>
    <w:pPr>
      <w:spacing w:after="200" w:line="276" w:lineRule="auto"/>
    </w:pPr>
    <w:rPr>
      <w:rFonts w:ascii="Georgia" w:hAnsi="Georgia"/>
      <w:lang w:val="en-CA"/>
    </w:rPr>
  </w:style>
  <w:style w:type="paragraph" w:styleId="Heading1">
    <w:name w:val="heading 1"/>
    <w:basedOn w:val="Normal"/>
    <w:link w:val="Heading1Char"/>
    <w:uiPriority w:val="9"/>
    <w:qFormat/>
    <w:rsid w:val="0078345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78345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78345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C62"/>
    <w:pPr>
      <w:spacing w:after="0" w:line="240" w:lineRule="auto"/>
    </w:pPr>
  </w:style>
  <w:style w:type="character" w:customStyle="1" w:styleId="searchword">
    <w:name w:val="searchword"/>
    <w:basedOn w:val="DefaultParagraphFont"/>
    <w:rsid w:val="00BA075A"/>
  </w:style>
  <w:style w:type="paragraph" w:styleId="Header">
    <w:name w:val="header"/>
    <w:basedOn w:val="Normal"/>
    <w:link w:val="HeaderChar"/>
    <w:uiPriority w:val="99"/>
    <w:unhideWhenUsed/>
    <w:rsid w:val="00BA075A"/>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A07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0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5A"/>
    <w:rPr>
      <w:rFonts w:ascii="Georgia" w:hAnsi="Georgia"/>
      <w:lang w:val="en-CA"/>
    </w:rPr>
  </w:style>
  <w:style w:type="character" w:styleId="Hyperlink">
    <w:name w:val="Hyperlink"/>
    <w:basedOn w:val="DefaultParagraphFont"/>
    <w:uiPriority w:val="99"/>
    <w:unhideWhenUsed/>
    <w:rsid w:val="00B2303C"/>
    <w:rPr>
      <w:color w:val="0000FF"/>
      <w:u w:val="single"/>
    </w:rPr>
  </w:style>
  <w:style w:type="character" w:styleId="Emphasis">
    <w:name w:val="Emphasis"/>
    <w:basedOn w:val="DefaultParagraphFont"/>
    <w:uiPriority w:val="20"/>
    <w:qFormat/>
    <w:rsid w:val="00C57996"/>
    <w:rPr>
      <w:i/>
      <w:iCs/>
    </w:rPr>
  </w:style>
  <w:style w:type="character" w:styleId="FollowedHyperlink">
    <w:name w:val="FollowedHyperlink"/>
    <w:basedOn w:val="DefaultParagraphFont"/>
    <w:uiPriority w:val="99"/>
    <w:semiHidden/>
    <w:unhideWhenUsed/>
    <w:rsid w:val="00B50959"/>
    <w:rPr>
      <w:color w:val="954F72" w:themeColor="followedHyperlink"/>
      <w:u w:val="single"/>
    </w:rPr>
  </w:style>
  <w:style w:type="character" w:customStyle="1" w:styleId="Heading1Char">
    <w:name w:val="Heading 1 Char"/>
    <w:basedOn w:val="DefaultParagraphFont"/>
    <w:link w:val="Heading1"/>
    <w:uiPriority w:val="9"/>
    <w:rsid w:val="007834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34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3455"/>
    <w:rPr>
      <w:rFonts w:ascii="Times New Roman" w:eastAsia="Times New Roman" w:hAnsi="Times New Roman" w:cs="Times New Roman"/>
      <w:b/>
      <w:bCs/>
      <w:sz w:val="27"/>
      <w:szCs w:val="27"/>
    </w:rPr>
  </w:style>
  <w:style w:type="paragraph" w:styleId="ListParagraph">
    <w:name w:val="List Paragraph"/>
    <w:basedOn w:val="Normal"/>
    <w:uiPriority w:val="34"/>
    <w:qFormat/>
    <w:rsid w:val="00451F7C"/>
    <w:pPr>
      <w:spacing w:after="160" w:line="252" w:lineRule="auto"/>
      <w:ind w:left="720"/>
      <w:contextualSpacing/>
    </w:pPr>
    <w:rPr>
      <w:rFonts w:ascii="Calibri" w:hAnsi="Calibri" w:cs="Calibri"/>
      <w:sz w:val="24"/>
      <w:szCs w:val="24"/>
      <w:lang w:val="en-US" w:bidi="he-IL"/>
    </w:rPr>
  </w:style>
  <w:style w:type="paragraph" w:styleId="BalloonText">
    <w:name w:val="Balloon Text"/>
    <w:basedOn w:val="Normal"/>
    <w:link w:val="BalloonTextChar"/>
    <w:uiPriority w:val="99"/>
    <w:semiHidden/>
    <w:unhideWhenUsed/>
    <w:rsid w:val="00176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3C"/>
    <w:rPr>
      <w:rFonts w:ascii="Segoe UI" w:hAnsi="Segoe UI" w:cs="Segoe UI"/>
      <w:sz w:val="18"/>
      <w:szCs w:val="18"/>
      <w:lang w:val="en-CA"/>
    </w:rPr>
  </w:style>
  <w:style w:type="paragraph" w:styleId="Title">
    <w:name w:val="Title"/>
    <w:basedOn w:val="Normal"/>
    <w:next w:val="Normal"/>
    <w:link w:val="TitleChar"/>
    <w:uiPriority w:val="10"/>
    <w:qFormat/>
    <w:rsid w:val="00A42C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CD2"/>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94205B"/>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4205B"/>
    <w:rPr>
      <w:rFonts w:eastAsiaTheme="minorEastAsia"/>
      <w:color w:val="5A5A5A" w:themeColor="text1" w:themeTint="A5"/>
      <w:spacing w:val="15"/>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3518">
      <w:bodyDiv w:val="1"/>
      <w:marLeft w:val="0"/>
      <w:marRight w:val="0"/>
      <w:marTop w:val="0"/>
      <w:marBottom w:val="0"/>
      <w:divBdr>
        <w:top w:val="none" w:sz="0" w:space="0" w:color="auto"/>
        <w:left w:val="none" w:sz="0" w:space="0" w:color="auto"/>
        <w:bottom w:val="none" w:sz="0" w:space="0" w:color="auto"/>
        <w:right w:val="none" w:sz="0" w:space="0" w:color="auto"/>
      </w:divBdr>
    </w:div>
    <w:div w:id="102573927">
      <w:bodyDiv w:val="1"/>
      <w:marLeft w:val="0"/>
      <w:marRight w:val="0"/>
      <w:marTop w:val="0"/>
      <w:marBottom w:val="0"/>
      <w:divBdr>
        <w:top w:val="none" w:sz="0" w:space="0" w:color="auto"/>
        <w:left w:val="none" w:sz="0" w:space="0" w:color="auto"/>
        <w:bottom w:val="none" w:sz="0" w:space="0" w:color="auto"/>
        <w:right w:val="none" w:sz="0" w:space="0" w:color="auto"/>
      </w:divBdr>
      <w:divsChild>
        <w:div w:id="1328709549">
          <w:marLeft w:val="0"/>
          <w:marRight w:val="0"/>
          <w:marTop w:val="0"/>
          <w:marBottom w:val="0"/>
          <w:divBdr>
            <w:top w:val="none" w:sz="0" w:space="0" w:color="auto"/>
            <w:left w:val="none" w:sz="0" w:space="0" w:color="auto"/>
            <w:bottom w:val="none" w:sz="0" w:space="0" w:color="auto"/>
            <w:right w:val="none" w:sz="0" w:space="0" w:color="auto"/>
          </w:divBdr>
          <w:divsChild>
            <w:div w:id="2060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939">
      <w:bodyDiv w:val="1"/>
      <w:marLeft w:val="0"/>
      <w:marRight w:val="0"/>
      <w:marTop w:val="0"/>
      <w:marBottom w:val="0"/>
      <w:divBdr>
        <w:top w:val="none" w:sz="0" w:space="0" w:color="auto"/>
        <w:left w:val="none" w:sz="0" w:space="0" w:color="auto"/>
        <w:bottom w:val="none" w:sz="0" w:space="0" w:color="auto"/>
        <w:right w:val="none" w:sz="0" w:space="0" w:color="auto"/>
      </w:divBdr>
    </w:div>
    <w:div w:id="382217261">
      <w:bodyDiv w:val="1"/>
      <w:marLeft w:val="0"/>
      <w:marRight w:val="0"/>
      <w:marTop w:val="0"/>
      <w:marBottom w:val="0"/>
      <w:divBdr>
        <w:top w:val="none" w:sz="0" w:space="0" w:color="auto"/>
        <w:left w:val="none" w:sz="0" w:space="0" w:color="auto"/>
        <w:bottom w:val="none" w:sz="0" w:space="0" w:color="auto"/>
        <w:right w:val="none" w:sz="0" w:space="0" w:color="auto"/>
      </w:divBdr>
    </w:div>
    <w:div w:id="406194231">
      <w:bodyDiv w:val="1"/>
      <w:marLeft w:val="0"/>
      <w:marRight w:val="0"/>
      <w:marTop w:val="0"/>
      <w:marBottom w:val="0"/>
      <w:divBdr>
        <w:top w:val="none" w:sz="0" w:space="0" w:color="auto"/>
        <w:left w:val="none" w:sz="0" w:space="0" w:color="auto"/>
        <w:bottom w:val="none" w:sz="0" w:space="0" w:color="auto"/>
        <w:right w:val="none" w:sz="0" w:space="0" w:color="auto"/>
      </w:divBdr>
    </w:div>
    <w:div w:id="447553564">
      <w:bodyDiv w:val="1"/>
      <w:marLeft w:val="0"/>
      <w:marRight w:val="0"/>
      <w:marTop w:val="0"/>
      <w:marBottom w:val="0"/>
      <w:divBdr>
        <w:top w:val="none" w:sz="0" w:space="0" w:color="auto"/>
        <w:left w:val="none" w:sz="0" w:space="0" w:color="auto"/>
        <w:bottom w:val="none" w:sz="0" w:space="0" w:color="auto"/>
        <w:right w:val="none" w:sz="0" w:space="0" w:color="auto"/>
      </w:divBdr>
      <w:divsChild>
        <w:div w:id="2122800490">
          <w:marLeft w:val="0"/>
          <w:marRight w:val="0"/>
          <w:marTop w:val="0"/>
          <w:marBottom w:val="0"/>
          <w:divBdr>
            <w:top w:val="none" w:sz="0" w:space="0" w:color="auto"/>
            <w:left w:val="none" w:sz="0" w:space="0" w:color="auto"/>
            <w:bottom w:val="none" w:sz="0" w:space="0" w:color="auto"/>
            <w:right w:val="none" w:sz="0" w:space="0" w:color="auto"/>
          </w:divBdr>
          <w:divsChild>
            <w:div w:id="1638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4222">
      <w:bodyDiv w:val="1"/>
      <w:marLeft w:val="0"/>
      <w:marRight w:val="0"/>
      <w:marTop w:val="0"/>
      <w:marBottom w:val="0"/>
      <w:divBdr>
        <w:top w:val="none" w:sz="0" w:space="0" w:color="auto"/>
        <w:left w:val="none" w:sz="0" w:space="0" w:color="auto"/>
        <w:bottom w:val="none" w:sz="0" w:space="0" w:color="auto"/>
        <w:right w:val="none" w:sz="0" w:space="0" w:color="auto"/>
      </w:divBdr>
    </w:div>
    <w:div w:id="545216164">
      <w:bodyDiv w:val="1"/>
      <w:marLeft w:val="0"/>
      <w:marRight w:val="0"/>
      <w:marTop w:val="0"/>
      <w:marBottom w:val="0"/>
      <w:divBdr>
        <w:top w:val="none" w:sz="0" w:space="0" w:color="auto"/>
        <w:left w:val="none" w:sz="0" w:space="0" w:color="auto"/>
        <w:bottom w:val="none" w:sz="0" w:space="0" w:color="auto"/>
        <w:right w:val="none" w:sz="0" w:space="0" w:color="auto"/>
      </w:divBdr>
    </w:div>
    <w:div w:id="681586872">
      <w:bodyDiv w:val="1"/>
      <w:marLeft w:val="0"/>
      <w:marRight w:val="0"/>
      <w:marTop w:val="0"/>
      <w:marBottom w:val="0"/>
      <w:divBdr>
        <w:top w:val="none" w:sz="0" w:space="0" w:color="auto"/>
        <w:left w:val="none" w:sz="0" w:space="0" w:color="auto"/>
        <w:bottom w:val="none" w:sz="0" w:space="0" w:color="auto"/>
        <w:right w:val="none" w:sz="0" w:space="0" w:color="auto"/>
      </w:divBdr>
      <w:divsChild>
        <w:div w:id="959336166">
          <w:marLeft w:val="0"/>
          <w:marRight w:val="0"/>
          <w:marTop w:val="0"/>
          <w:marBottom w:val="0"/>
          <w:divBdr>
            <w:top w:val="none" w:sz="0" w:space="0" w:color="auto"/>
            <w:left w:val="none" w:sz="0" w:space="0" w:color="auto"/>
            <w:bottom w:val="none" w:sz="0" w:space="0" w:color="auto"/>
            <w:right w:val="none" w:sz="0" w:space="0" w:color="auto"/>
          </w:divBdr>
          <w:divsChild>
            <w:div w:id="14057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09435">
      <w:bodyDiv w:val="1"/>
      <w:marLeft w:val="0"/>
      <w:marRight w:val="0"/>
      <w:marTop w:val="0"/>
      <w:marBottom w:val="0"/>
      <w:divBdr>
        <w:top w:val="none" w:sz="0" w:space="0" w:color="auto"/>
        <w:left w:val="none" w:sz="0" w:space="0" w:color="auto"/>
        <w:bottom w:val="none" w:sz="0" w:space="0" w:color="auto"/>
        <w:right w:val="none" w:sz="0" w:space="0" w:color="auto"/>
      </w:divBdr>
    </w:div>
    <w:div w:id="731588250">
      <w:bodyDiv w:val="1"/>
      <w:marLeft w:val="0"/>
      <w:marRight w:val="0"/>
      <w:marTop w:val="0"/>
      <w:marBottom w:val="0"/>
      <w:divBdr>
        <w:top w:val="none" w:sz="0" w:space="0" w:color="auto"/>
        <w:left w:val="none" w:sz="0" w:space="0" w:color="auto"/>
        <w:bottom w:val="none" w:sz="0" w:space="0" w:color="auto"/>
        <w:right w:val="none" w:sz="0" w:space="0" w:color="auto"/>
      </w:divBdr>
    </w:div>
    <w:div w:id="771163571">
      <w:bodyDiv w:val="1"/>
      <w:marLeft w:val="0"/>
      <w:marRight w:val="0"/>
      <w:marTop w:val="0"/>
      <w:marBottom w:val="0"/>
      <w:divBdr>
        <w:top w:val="none" w:sz="0" w:space="0" w:color="auto"/>
        <w:left w:val="none" w:sz="0" w:space="0" w:color="auto"/>
        <w:bottom w:val="none" w:sz="0" w:space="0" w:color="auto"/>
        <w:right w:val="none" w:sz="0" w:space="0" w:color="auto"/>
      </w:divBdr>
    </w:div>
    <w:div w:id="865562673">
      <w:bodyDiv w:val="1"/>
      <w:marLeft w:val="0"/>
      <w:marRight w:val="0"/>
      <w:marTop w:val="0"/>
      <w:marBottom w:val="0"/>
      <w:divBdr>
        <w:top w:val="none" w:sz="0" w:space="0" w:color="auto"/>
        <w:left w:val="none" w:sz="0" w:space="0" w:color="auto"/>
        <w:bottom w:val="none" w:sz="0" w:space="0" w:color="auto"/>
        <w:right w:val="none" w:sz="0" w:space="0" w:color="auto"/>
      </w:divBdr>
    </w:div>
    <w:div w:id="936866056">
      <w:bodyDiv w:val="1"/>
      <w:marLeft w:val="0"/>
      <w:marRight w:val="0"/>
      <w:marTop w:val="0"/>
      <w:marBottom w:val="0"/>
      <w:divBdr>
        <w:top w:val="none" w:sz="0" w:space="0" w:color="auto"/>
        <w:left w:val="none" w:sz="0" w:space="0" w:color="auto"/>
        <w:bottom w:val="none" w:sz="0" w:space="0" w:color="auto"/>
        <w:right w:val="none" w:sz="0" w:space="0" w:color="auto"/>
      </w:divBdr>
    </w:div>
    <w:div w:id="937179757">
      <w:bodyDiv w:val="1"/>
      <w:marLeft w:val="0"/>
      <w:marRight w:val="0"/>
      <w:marTop w:val="0"/>
      <w:marBottom w:val="0"/>
      <w:divBdr>
        <w:top w:val="none" w:sz="0" w:space="0" w:color="auto"/>
        <w:left w:val="none" w:sz="0" w:space="0" w:color="auto"/>
        <w:bottom w:val="none" w:sz="0" w:space="0" w:color="auto"/>
        <w:right w:val="none" w:sz="0" w:space="0" w:color="auto"/>
      </w:divBdr>
      <w:divsChild>
        <w:div w:id="724721649">
          <w:marLeft w:val="-1350"/>
          <w:marRight w:val="0"/>
          <w:marTop w:val="0"/>
          <w:marBottom w:val="0"/>
          <w:divBdr>
            <w:top w:val="none" w:sz="0" w:space="0" w:color="auto"/>
            <w:left w:val="none" w:sz="0" w:space="0" w:color="auto"/>
            <w:bottom w:val="none" w:sz="0" w:space="0" w:color="auto"/>
            <w:right w:val="none" w:sz="0" w:space="0" w:color="auto"/>
          </w:divBdr>
        </w:div>
      </w:divsChild>
    </w:div>
    <w:div w:id="950628161">
      <w:bodyDiv w:val="1"/>
      <w:marLeft w:val="0"/>
      <w:marRight w:val="0"/>
      <w:marTop w:val="0"/>
      <w:marBottom w:val="0"/>
      <w:divBdr>
        <w:top w:val="none" w:sz="0" w:space="0" w:color="auto"/>
        <w:left w:val="none" w:sz="0" w:space="0" w:color="auto"/>
        <w:bottom w:val="none" w:sz="0" w:space="0" w:color="auto"/>
        <w:right w:val="none" w:sz="0" w:space="0" w:color="auto"/>
      </w:divBdr>
    </w:div>
    <w:div w:id="1003631763">
      <w:bodyDiv w:val="1"/>
      <w:marLeft w:val="0"/>
      <w:marRight w:val="0"/>
      <w:marTop w:val="0"/>
      <w:marBottom w:val="0"/>
      <w:divBdr>
        <w:top w:val="none" w:sz="0" w:space="0" w:color="auto"/>
        <w:left w:val="none" w:sz="0" w:space="0" w:color="auto"/>
        <w:bottom w:val="none" w:sz="0" w:space="0" w:color="auto"/>
        <w:right w:val="none" w:sz="0" w:space="0" w:color="auto"/>
      </w:divBdr>
    </w:div>
    <w:div w:id="1021586569">
      <w:bodyDiv w:val="1"/>
      <w:marLeft w:val="0"/>
      <w:marRight w:val="0"/>
      <w:marTop w:val="0"/>
      <w:marBottom w:val="0"/>
      <w:divBdr>
        <w:top w:val="none" w:sz="0" w:space="0" w:color="auto"/>
        <w:left w:val="none" w:sz="0" w:space="0" w:color="auto"/>
        <w:bottom w:val="none" w:sz="0" w:space="0" w:color="auto"/>
        <w:right w:val="none" w:sz="0" w:space="0" w:color="auto"/>
      </w:divBdr>
      <w:divsChild>
        <w:div w:id="721366157">
          <w:marLeft w:val="0"/>
          <w:marRight w:val="0"/>
          <w:marTop w:val="0"/>
          <w:marBottom w:val="0"/>
          <w:divBdr>
            <w:top w:val="none" w:sz="0" w:space="0" w:color="auto"/>
            <w:left w:val="none" w:sz="0" w:space="0" w:color="auto"/>
            <w:bottom w:val="none" w:sz="0" w:space="0" w:color="auto"/>
            <w:right w:val="none" w:sz="0" w:space="0" w:color="auto"/>
          </w:divBdr>
          <w:divsChild>
            <w:div w:id="103010523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61945780">
      <w:bodyDiv w:val="1"/>
      <w:marLeft w:val="0"/>
      <w:marRight w:val="0"/>
      <w:marTop w:val="0"/>
      <w:marBottom w:val="0"/>
      <w:divBdr>
        <w:top w:val="none" w:sz="0" w:space="0" w:color="auto"/>
        <w:left w:val="none" w:sz="0" w:space="0" w:color="auto"/>
        <w:bottom w:val="none" w:sz="0" w:space="0" w:color="auto"/>
        <w:right w:val="none" w:sz="0" w:space="0" w:color="auto"/>
      </w:divBdr>
    </w:div>
    <w:div w:id="1071198367">
      <w:bodyDiv w:val="1"/>
      <w:marLeft w:val="0"/>
      <w:marRight w:val="0"/>
      <w:marTop w:val="0"/>
      <w:marBottom w:val="0"/>
      <w:divBdr>
        <w:top w:val="none" w:sz="0" w:space="0" w:color="auto"/>
        <w:left w:val="none" w:sz="0" w:space="0" w:color="auto"/>
        <w:bottom w:val="none" w:sz="0" w:space="0" w:color="auto"/>
        <w:right w:val="none" w:sz="0" w:space="0" w:color="auto"/>
      </w:divBdr>
    </w:div>
    <w:div w:id="1103957895">
      <w:bodyDiv w:val="1"/>
      <w:marLeft w:val="0"/>
      <w:marRight w:val="0"/>
      <w:marTop w:val="0"/>
      <w:marBottom w:val="0"/>
      <w:divBdr>
        <w:top w:val="none" w:sz="0" w:space="0" w:color="auto"/>
        <w:left w:val="none" w:sz="0" w:space="0" w:color="auto"/>
        <w:bottom w:val="none" w:sz="0" w:space="0" w:color="auto"/>
        <w:right w:val="none" w:sz="0" w:space="0" w:color="auto"/>
      </w:divBdr>
    </w:div>
    <w:div w:id="1173567283">
      <w:bodyDiv w:val="1"/>
      <w:marLeft w:val="0"/>
      <w:marRight w:val="0"/>
      <w:marTop w:val="0"/>
      <w:marBottom w:val="0"/>
      <w:divBdr>
        <w:top w:val="none" w:sz="0" w:space="0" w:color="auto"/>
        <w:left w:val="none" w:sz="0" w:space="0" w:color="auto"/>
        <w:bottom w:val="none" w:sz="0" w:space="0" w:color="auto"/>
        <w:right w:val="none" w:sz="0" w:space="0" w:color="auto"/>
      </w:divBdr>
    </w:div>
    <w:div w:id="1220559059">
      <w:bodyDiv w:val="1"/>
      <w:marLeft w:val="0"/>
      <w:marRight w:val="0"/>
      <w:marTop w:val="0"/>
      <w:marBottom w:val="0"/>
      <w:divBdr>
        <w:top w:val="none" w:sz="0" w:space="0" w:color="auto"/>
        <w:left w:val="none" w:sz="0" w:space="0" w:color="auto"/>
        <w:bottom w:val="none" w:sz="0" w:space="0" w:color="auto"/>
        <w:right w:val="none" w:sz="0" w:space="0" w:color="auto"/>
      </w:divBdr>
    </w:div>
    <w:div w:id="1276475536">
      <w:bodyDiv w:val="1"/>
      <w:marLeft w:val="0"/>
      <w:marRight w:val="0"/>
      <w:marTop w:val="0"/>
      <w:marBottom w:val="0"/>
      <w:divBdr>
        <w:top w:val="none" w:sz="0" w:space="0" w:color="auto"/>
        <w:left w:val="none" w:sz="0" w:space="0" w:color="auto"/>
        <w:bottom w:val="none" w:sz="0" w:space="0" w:color="auto"/>
        <w:right w:val="none" w:sz="0" w:space="0" w:color="auto"/>
      </w:divBdr>
    </w:div>
    <w:div w:id="1289702346">
      <w:bodyDiv w:val="1"/>
      <w:marLeft w:val="0"/>
      <w:marRight w:val="0"/>
      <w:marTop w:val="0"/>
      <w:marBottom w:val="0"/>
      <w:divBdr>
        <w:top w:val="none" w:sz="0" w:space="0" w:color="auto"/>
        <w:left w:val="none" w:sz="0" w:space="0" w:color="auto"/>
        <w:bottom w:val="none" w:sz="0" w:space="0" w:color="auto"/>
        <w:right w:val="none" w:sz="0" w:space="0" w:color="auto"/>
      </w:divBdr>
    </w:div>
    <w:div w:id="1349991292">
      <w:bodyDiv w:val="1"/>
      <w:marLeft w:val="0"/>
      <w:marRight w:val="0"/>
      <w:marTop w:val="0"/>
      <w:marBottom w:val="0"/>
      <w:divBdr>
        <w:top w:val="none" w:sz="0" w:space="0" w:color="auto"/>
        <w:left w:val="none" w:sz="0" w:space="0" w:color="auto"/>
        <w:bottom w:val="none" w:sz="0" w:space="0" w:color="auto"/>
        <w:right w:val="none" w:sz="0" w:space="0" w:color="auto"/>
      </w:divBdr>
      <w:divsChild>
        <w:div w:id="756561933">
          <w:marLeft w:val="-1350"/>
          <w:marRight w:val="0"/>
          <w:marTop w:val="0"/>
          <w:marBottom w:val="0"/>
          <w:divBdr>
            <w:top w:val="none" w:sz="0" w:space="0" w:color="auto"/>
            <w:left w:val="none" w:sz="0" w:space="0" w:color="auto"/>
            <w:bottom w:val="none" w:sz="0" w:space="0" w:color="auto"/>
            <w:right w:val="none" w:sz="0" w:space="0" w:color="auto"/>
          </w:divBdr>
        </w:div>
      </w:divsChild>
    </w:div>
    <w:div w:id="1350834459">
      <w:bodyDiv w:val="1"/>
      <w:marLeft w:val="0"/>
      <w:marRight w:val="0"/>
      <w:marTop w:val="0"/>
      <w:marBottom w:val="0"/>
      <w:divBdr>
        <w:top w:val="none" w:sz="0" w:space="0" w:color="auto"/>
        <w:left w:val="none" w:sz="0" w:space="0" w:color="auto"/>
        <w:bottom w:val="none" w:sz="0" w:space="0" w:color="auto"/>
        <w:right w:val="none" w:sz="0" w:space="0" w:color="auto"/>
      </w:divBdr>
    </w:div>
    <w:div w:id="1514954597">
      <w:bodyDiv w:val="1"/>
      <w:marLeft w:val="0"/>
      <w:marRight w:val="0"/>
      <w:marTop w:val="0"/>
      <w:marBottom w:val="0"/>
      <w:divBdr>
        <w:top w:val="none" w:sz="0" w:space="0" w:color="auto"/>
        <w:left w:val="none" w:sz="0" w:space="0" w:color="auto"/>
        <w:bottom w:val="none" w:sz="0" w:space="0" w:color="auto"/>
        <w:right w:val="none" w:sz="0" w:space="0" w:color="auto"/>
      </w:divBdr>
    </w:div>
    <w:div w:id="1594363752">
      <w:bodyDiv w:val="1"/>
      <w:marLeft w:val="0"/>
      <w:marRight w:val="0"/>
      <w:marTop w:val="0"/>
      <w:marBottom w:val="0"/>
      <w:divBdr>
        <w:top w:val="none" w:sz="0" w:space="0" w:color="auto"/>
        <w:left w:val="none" w:sz="0" w:space="0" w:color="auto"/>
        <w:bottom w:val="none" w:sz="0" w:space="0" w:color="auto"/>
        <w:right w:val="none" w:sz="0" w:space="0" w:color="auto"/>
      </w:divBdr>
    </w:div>
    <w:div w:id="1610501543">
      <w:bodyDiv w:val="1"/>
      <w:marLeft w:val="0"/>
      <w:marRight w:val="0"/>
      <w:marTop w:val="0"/>
      <w:marBottom w:val="0"/>
      <w:divBdr>
        <w:top w:val="none" w:sz="0" w:space="0" w:color="auto"/>
        <w:left w:val="none" w:sz="0" w:space="0" w:color="auto"/>
        <w:bottom w:val="none" w:sz="0" w:space="0" w:color="auto"/>
        <w:right w:val="none" w:sz="0" w:space="0" w:color="auto"/>
      </w:divBdr>
    </w:div>
    <w:div w:id="1756824588">
      <w:bodyDiv w:val="1"/>
      <w:marLeft w:val="0"/>
      <w:marRight w:val="0"/>
      <w:marTop w:val="0"/>
      <w:marBottom w:val="0"/>
      <w:divBdr>
        <w:top w:val="none" w:sz="0" w:space="0" w:color="auto"/>
        <w:left w:val="none" w:sz="0" w:space="0" w:color="auto"/>
        <w:bottom w:val="none" w:sz="0" w:space="0" w:color="auto"/>
        <w:right w:val="none" w:sz="0" w:space="0" w:color="auto"/>
      </w:divBdr>
    </w:div>
    <w:div w:id="1829400254">
      <w:bodyDiv w:val="1"/>
      <w:marLeft w:val="0"/>
      <w:marRight w:val="0"/>
      <w:marTop w:val="0"/>
      <w:marBottom w:val="0"/>
      <w:divBdr>
        <w:top w:val="none" w:sz="0" w:space="0" w:color="auto"/>
        <w:left w:val="none" w:sz="0" w:space="0" w:color="auto"/>
        <w:bottom w:val="none" w:sz="0" w:space="0" w:color="auto"/>
        <w:right w:val="none" w:sz="0" w:space="0" w:color="auto"/>
      </w:divBdr>
    </w:div>
    <w:div w:id="1848716754">
      <w:bodyDiv w:val="1"/>
      <w:marLeft w:val="0"/>
      <w:marRight w:val="0"/>
      <w:marTop w:val="0"/>
      <w:marBottom w:val="0"/>
      <w:divBdr>
        <w:top w:val="none" w:sz="0" w:space="0" w:color="auto"/>
        <w:left w:val="none" w:sz="0" w:space="0" w:color="auto"/>
        <w:bottom w:val="none" w:sz="0" w:space="0" w:color="auto"/>
        <w:right w:val="none" w:sz="0" w:space="0" w:color="auto"/>
      </w:divBdr>
    </w:div>
    <w:div w:id="1976986546">
      <w:bodyDiv w:val="1"/>
      <w:marLeft w:val="0"/>
      <w:marRight w:val="0"/>
      <w:marTop w:val="0"/>
      <w:marBottom w:val="0"/>
      <w:divBdr>
        <w:top w:val="none" w:sz="0" w:space="0" w:color="auto"/>
        <w:left w:val="none" w:sz="0" w:space="0" w:color="auto"/>
        <w:bottom w:val="none" w:sz="0" w:space="0" w:color="auto"/>
        <w:right w:val="none" w:sz="0" w:space="0" w:color="auto"/>
      </w:divBdr>
    </w:div>
    <w:div w:id="1980181546">
      <w:bodyDiv w:val="1"/>
      <w:marLeft w:val="0"/>
      <w:marRight w:val="0"/>
      <w:marTop w:val="0"/>
      <w:marBottom w:val="0"/>
      <w:divBdr>
        <w:top w:val="none" w:sz="0" w:space="0" w:color="auto"/>
        <w:left w:val="none" w:sz="0" w:space="0" w:color="auto"/>
        <w:bottom w:val="none" w:sz="0" w:space="0" w:color="auto"/>
        <w:right w:val="none" w:sz="0" w:space="0" w:color="auto"/>
      </w:divBdr>
      <w:divsChild>
        <w:div w:id="1385640744">
          <w:marLeft w:val="0"/>
          <w:marRight w:val="0"/>
          <w:marTop w:val="0"/>
          <w:marBottom w:val="0"/>
          <w:divBdr>
            <w:top w:val="none" w:sz="0" w:space="0" w:color="auto"/>
            <w:left w:val="none" w:sz="0" w:space="0" w:color="auto"/>
            <w:bottom w:val="none" w:sz="0" w:space="0" w:color="auto"/>
            <w:right w:val="none" w:sz="0" w:space="0" w:color="auto"/>
          </w:divBdr>
          <w:divsChild>
            <w:div w:id="15684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919">
      <w:bodyDiv w:val="1"/>
      <w:marLeft w:val="0"/>
      <w:marRight w:val="0"/>
      <w:marTop w:val="0"/>
      <w:marBottom w:val="0"/>
      <w:divBdr>
        <w:top w:val="none" w:sz="0" w:space="0" w:color="auto"/>
        <w:left w:val="none" w:sz="0" w:space="0" w:color="auto"/>
        <w:bottom w:val="none" w:sz="0" w:space="0" w:color="auto"/>
        <w:right w:val="none" w:sz="0" w:space="0" w:color="auto"/>
      </w:divBdr>
    </w:div>
    <w:div w:id="21446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baptistwiki.org/mediawiki/index.php?title=Schleitheim_Confession_(source)" TargetMode="External"/><Relationship Id="rId13" Type="http://schemas.openxmlformats.org/officeDocument/2006/relationships/hyperlink" Target="http://www.vatican.va/roman_curia/pontifical_councils/chrstuni/sub-index/index_mennonite-conference.htm" TargetMode="External"/><Relationship Id="rId18" Type="http://schemas.openxmlformats.org/officeDocument/2006/relationships/hyperlink" Target="https://uwaterloo.ca/secretariat-general-counsel/policies-procedures-guidelines/policy-7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waterloo.ca/campus-wellness/counselling-services" TargetMode="External"/><Relationship Id="rId7" Type="http://schemas.openxmlformats.org/officeDocument/2006/relationships/hyperlink" Target="https://wstore.uwaterloo.ca/" TargetMode="External"/><Relationship Id="rId12" Type="http://schemas.openxmlformats.org/officeDocument/2006/relationships/hyperlink" Target="http://www.christiancentury.org/article/2014-07/theology-and-misconduct" TargetMode="External"/><Relationship Id="rId17" Type="http://schemas.openxmlformats.org/officeDocument/2006/relationships/hyperlink" Target="https://uwaterloo.ca/secretariat-general-counsel/policies-procedures-guidelines/guidelines/guidelines-assessment-penalti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waterloo.ca/secretariat-general-counsel/policies-procedures-guidelines/policy-71" TargetMode="External"/><Relationship Id="rId20" Type="http://schemas.openxmlformats.org/officeDocument/2006/relationships/hyperlink" Target="https://uwaterloo.ca/accessabilit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mennonite.org/feature/failure-bind-loose-responses-john-howard-yoders-sexual-abus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waterloo.ca/arts/undergraduate/student-support/academic-standing-understanding-your-unofficial-transcript/ethical-behaviour" TargetMode="External"/><Relationship Id="rId23" Type="http://schemas.openxmlformats.org/officeDocument/2006/relationships/hyperlink" Target="https://uwaterloo.ca/writing-and-communication-centre/" TargetMode="External"/><Relationship Id="rId10" Type="http://schemas.openxmlformats.org/officeDocument/2006/relationships/hyperlink" Target="http://www.cpt.org/resources/writings/sider" TargetMode="External"/><Relationship Id="rId19" Type="http://schemas.openxmlformats.org/officeDocument/2006/relationships/hyperlink" Target="https://uwaterloo.ca/secretariat-general-counsel/policies-procedures-guidelines/policy-72" TargetMode="External"/><Relationship Id="rId4" Type="http://schemas.openxmlformats.org/officeDocument/2006/relationships/webSettings" Target="webSettings.xml"/><Relationship Id="rId9" Type="http://schemas.openxmlformats.org/officeDocument/2006/relationships/hyperlink" Target="https://dhspriory.org/thomas/summa/SS/SS040.html" TargetMode="External"/><Relationship Id="rId14" Type="http://schemas.openxmlformats.org/officeDocument/2006/relationships/hyperlink" Target="https://uwaterloo.ca/academic-integrity" TargetMode="External"/><Relationship Id="rId22" Type="http://schemas.openxmlformats.org/officeDocument/2006/relationships/hyperlink" Target="https://uwaterloo.ca/campus-wellness/health-services/student-medical-clini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2880</TotalTime>
  <Pages>7</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Bergen</dc:creator>
  <cp:keywords/>
  <dc:description/>
  <cp:lastModifiedBy>Jeremy Bergen</cp:lastModifiedBy>
  <cp:revision>5</cp:revision>
  <cp:lastPrinted>2019-09-06T14:12:00Z</cp:lastPrinted>
  <dcterms:created xsi:type="dcterms:W3CDTF">2019-09-06T14:17:00Z</dcterms:created>
  <dcterms:modified xsi:type="dcterms:W3CDTF">2019-09-08T19:11:00Z</dcterms:modified>
</cp:coreProperties>
</file>