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61301BF5" wp14:editId="0DAD635E">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8">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rsidR="00A67DF1" w:rsidRDefault="00837E5B" w:rsidP="00837E5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Go Live Readiness Risk Assessment</w:t>
                    </w:r>
                  </w:p>
                </w:sdtContent>
              </w:sdt>
            </w:tc>
          </w:tr>
          <w:tr w:rsidR="00A67DF1">
            <w:sdt>
              <w:sdtPr>
                <w:rPr>
                  <w:rFonts w:asciiTheme="majorHAnsi" w:eastAsiaTheme="majorEastAsia" w:hAnsiTheme="majorHAnsi" w:cstheme="majorBidi"/>
                  <w:sz w:val="36"/>
                  <w:szCs w:val="36"/>
                </w:rPr>
                <w:alias w:val="Subtitle"/>
                <w:id w:val="13406923"/>
                <w:placeholder>
                  <w:docPart w:val="365E8D834E42437A9A7CB570C468B6E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67DF1" w:rsidRDefault="00D06827" w:rsidP="00A67DF1">
                    <w:pPr>
                      <w:pStyle w:val="NoSpacing"/>
                      <w:rPr>
                        <w:rFonts w:asciiTheme="majorHAnsi" w:eastAsiaTheme="majorEastAsia" w:hAnsiTheme="majorHAnsi" w:cstheme="majorBidi"/>
                      </w:rPr>
                    </w:pPr>
                    <w:r w:rsidRPr="000771C5">
                      <w:rPr>
                        <w:rFonts w:asciiTheme="majorHAnsi" w:eastAsiaTheme="majorEastAsia" w:hAnsiTheme="majorHAnsi" w:cstheme="majorBidi"/>
                        <w:sz w:val="36"/>
                        <w:szCs w:val="36"/>
                      </w:rPr>
                      <w:t xml:space="preserve"> </w:t>
                    </w:r>
                    <w:r w:rsidRPr="000771C5">
                      <w:rPr>
                        <w:rFonts w:asciiTheme="majorHAnsi" w:eastAsiaTheme="majorEastAsia" w:hAnsiTheme="majorHAnsi" w:cstheme="majorBidi"/>
                        <w:sz w:val="36"/>
                        <w:szCs w:val="36"/>
                      </w:rPr>
                      <w:t>[Insert Project Name]</w:t>
                    </w:r>
                    <w:r>
                      <w:rPr>
                        <w:rFonts w:asciiTheme="majorHAnsi" w:eastAsiaTheme="majorEastAsia" w:hAnsiTheme="majorHAnsi" w:cstheme="majorBidi"/>
                        <w:sz w:val="36"/>
                        <w:szCs w:val="36"/>
                      </w:rPr>
                      <w:t xml:space="preserve"> </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672"/>
          </w:tblGrid>
          <w:tr w:rsidR="00A67DF1" w:rsidTr="00A67DF1">
            <w:trPr>
              <w:trHeight w:val="954"/>
            </w:trPr>
            <w:tc>
              <w:tcPr>
                <w:tcW w:w="7672" w:type="dxa"/>
                <w:tcMar>
                  <w:top w:w="216" w:type="dxa"/>
                  <w:left w:w="115" w:type="dxa"/>
                  <w:bottom w:w="216" w:type="dxa"/>
                  <w:right w:w="115" w:type="dxa"/>
                </w:tcMar>
              </w:tcPr>
              <w:sdt>
                <w:sdtPr>
                  <w:rPr>
                    <w:color w:val="4F81BD" w:themeColor="accent1"/>
                  </w:rPr>
                  <w:alias w:val="Author"/>
                  <w:id w:val="13406928"/>
                  <w:placeholder>
                    <w:docPart w:val="FE21F2C949AF48A49FC914EAB91FE24B"/>
                  </w:placeholder>
                  <w:dataBinding w:prefixMappings="xmlns:ns0='http://schemas.openxmlformats.org/package/2006/metadata/core-properties' xmlns:ns1='http://purl.org/dc/elements/1.1/'" w:xpath="/ns0:coreProperties[1]/ns1:creator[1]" w:storeItemID="{6C3C8BC8-F283-45AE-878A-BAB7291924A1}"/>
                  <w:text/>
                </w:sdtPr>
                <w:sdtContent>
                  <w:p w:rsidR="00A67DF1" w:rsidRDefault="00D06827">
                    <w:pPr>
                      <w:pStyle w:val="NoSpacing"/>
                      <w:rPr>
                        <w:color w:val="4F81BD" w:themeColor="accent1"/>
                      </w:rPr>
                    </w:pPr>
                    <w:r w:rsidRPr="00FC35FC">
                      <w:rPr>
                        <w:color w:val="4F81BD" w:themeColor="accent1"/>
                      </w:rPr>
                      <w:t xml:space="preserve"> </w:t>
                    </w:r>
                    <w:r w:rsidRPr="00FC35FC">
                      <w:rPr>
                        <w:color w:val="4F81BD" w:themeColor="accent1"/>
                      </w:rPr>
                      <w:t>[Type the author name]</w:t>
                    </w:r>
                  </w:p>
                </w:sdtContent>
              </w:sdt>
              <w:p w:rsidR="00D06827" w:rsidRDefault="00D06827" w:rsidP="00D06827">
                <w:pPr>
                  <w:pStyle w:val="NoSpacing"/>
                  <w:rPr>
                    <w:color w:val="4F81BD" w:themeColor="accent1"/>
                  </w:rPr>
                </w:pPr>
                <w:r>
                  <w:rPr>
                    <w:color w:val="4F81BD" w:themeColor="accent1"/>
                  </w:rPr>
                  <w:t>Last Updated: October 16, 2012</w:t>
                </w:r>
              </w:p>
              <w:p w:rsidR="00A67DF1" w:rsidRDefault="00A67DF1">
                <w:pPr>
                  <w:pStyle w:val="NoSpacing"/>
                  <w:rPr>
                    <w:color w:val="4F81BD" w:themeColor="accent1"/>
                  </w:rPr>
                </w:pPr>
              </w:p>
            </w:tc>
          </w:tr>
        </w:tbl>
        <w:p w:rsidR="00A67DF1" w:rsidRDefault="00A67DF1"/>
        <w:p w:rsidR="00A67DF1" w:rsidRDefault="00A67DF1">
          <w:r>
            <w:br w:type="page"/>
          </w:r>
        </w:p>
      </w:sdtContent>
    </w:sdt>
    <w:p w:rsidR="009505F3" w:rsidRDefault="00837E5B" w:rsidP="007502C8">
      <w:pPr>
        <w:pStyle w:val="Heading1"/>
      </w:pPr>
      <w:r>
        <w:lastRenderedPageBreak/>
        <w:t>Purpose</w:t>
      </w:r>
    </w:p>
    <w:p w:rsidR="00837E5B" w:rsidRDefault="00EA5110" w:rsidP="007502C8">
      <w:pPr>
        <w:rPr>
          <w:i/>
          <w:color w:val="00B050"/>
        </w:rPr>
      </w:pPr>
      <w:r>
        <w:rPr>
          <w:i/>
          <w:color w:val="00B050"/>
        </w:rPr>
        <w:t>Add any other relevant information towards the purpose of this assessment for this project</w:t>
      </w:r>
      <w:r w:rsidR="007502C8">
        <w:rPr>
          <w:i/>
          <w:color w:val="00B050"/>
        </w:rPr>
        <w:t>.</w:t>
      </w:r>
      <w:r w:rsidR="005E230C">
        <w:rPr>
          <w:i/>
          <w:color w:val="00B050"/>
        </w:rPr>
        <w:t xml:space="preserve">  Ideally, this assessment should be conducted by a 3</w:t>
      </w:r>
      <w:r w:rsidR="005E230C" w:rsidRPr="005E230C">
        <w:rPr>
          <w:i/>
          <w:color w:val="00B050"/>
          <w:vertAlign w:val="superscript"/>
        </w:rPr>
        <w:t>rd</w:t>
      </w:r>
      <w:r w:rsidR="005E230C">
        <w:rPr>
          <w:i/>
          <w:color w:val="00B050"/>
        </w:rPr>
        <w:t xml:space="preserve"> party who has not been involved in the project (such as another Project Manager) but this may not always be possible.</w:t>
      </w:r>
    </w:p>
    <w:p w:rsidR="00D005F9" w:rsidRDefault="00D005F9" w:rsidP="007502C8">
      <w:pPr>
        <w:rPr>
          <w:i/>
          <w:color w:val="00B050"/>
        </w:rPr>
      </w:pPr>
      <w:r>
        <w:rPr>
          <w:i/>
          <w:color w:val="00B050"/>
        </w:rPr>
        <w:t>The Project Manager must ensure that they receive honest accounts of the situation, ask detailed/searching questions of people and issues are not hidden or brushed aside while doing this assessment.</w:t>
      </w:r>
    </w:p>
    <w:p w:rsidR="00D06827" w:rsidRDefault="00D06827" w:rsidP="00D06827">
      <w:r>
        <w:t xml:space="preserve">The purpose of this Go Live Readiness Risk Assessment is to ensure that the implementation has been planned out and communicated to stakeholders, and that sufficient due diligence is undertaken before the project proceeds.  </w:t>
      </w:r>
    </w:p>
    <w:p w:rsidR="00D06827" w:rsidRPr="00EA5110" w:rsidRDefault="00D06827" w:rsidP="00D06827">
      <w:pPr>
        <w:spacing w:before="100" w:beforeAutospacing="1" w:after="100" w:afterAutospacing="1" w:line="240" w:lineRule="auto"/>
        <w:rPr>
          <w:rFonts w:eastAsia="Times New Roman" w:cstheme="minorHAnsi"/>
        </w:rPr>
      </w:pPr>
      <w:r w:rsidRPr="00EA5110">
        <w:rPr>
          <w:rFonts w:eastAsia="Times New Roman" w:cstheme="minorHAnsi"/>
        </w:rPr>
        <w:t xml:space="preserve">The </w:t>
      </w:r>
      <w:r>
        <w:rPr>
          <w:rFonts w:eastAsia="Times New Roman" w:cstheme="minorHAnsi"/>
        </w:rPr>
        <w:t xml:space="preserve">Go/No Go </w:t>
      </w:r>
      <w:r w:rsidRPr="00EA5110">
        <w:rPr>
          <w:rFonts w:eastAsia="Times New Roman" w:cstheme="minorHAnsi"/>
        </w:rPr>
        <w:t>checklist</w:t>
      </w:r>
      <w:r>
        <w:rPr>
          <w:rFonts w:eastAsia="Times New Roman" w:cstheme="minorHAnsi"/>
        </w:rPr>
        <w:t xml:space="preserve"> in this assessment</w:t>
      </w:r>
      <w:r w:rsidRPr="00EA5110">
        <w:rPr>
          <w:rFonts w:eastAsia="Times New Roman" w:cstheme="minorHAnsi"/>
        </w:rPr>
        <w:t xml:space="preserve"> helps to identify serious gaps and deficiencies to be addressed before go-live. It may also provide support for further funds or resources if a particular area needs addressing. The checklist should support the decision making process, </w:t>
      </w:r>
      <w:r>
        <w:rPr>
          <w:rFonts w:eastAsia="Times New Roman" w:cstheme="minorHAnsi"/>
        </w:rPr>
        <w:t>while the decision makers also</w:t>
      </w:r>
      <w:r w:rsidRPr="00EA5110">
        <w:rPr>
          <w:rFonts w:eastAsia="Times New Roman" w:cstheme="minorHAnsi"/>
        </w:rPr>
        <w:t xml:space="preserve"> consider the bigger picture and include other factors such as external pressures, urgency to proceed, </w:t>
      </w:r>
      <w:r>
        <w:rPr>
          <w:rFonts w:eastAsia="Times New Roman" w:cstheme="minorHAnsi"/>
        </w:rPr>
        <w:t>willingness to accept</w:t>
      </w:r>
      <w:r w:rsidRPr="00EA5110">
        <w:rPr>
          <w:rFonts w:eastAsia="Times New Roman" w:cstheme="minorHAnsi"/>
        </w:rPr>
        <w:t xml:space="preserve"> risk, consequences of delays</w:t>
      </w:r>
      <w:r>
        <w:rPr>
          <w:rFonts w:eastAsia="Times New Roman" w:cstheme="minorHAnsi"/>
        </w:rPr>
        <w:t>, etc.</w:t>
      </w:r>
    </w:p>
    <w:p w:rsidR="00A84FED" w:rsidRDefault="005E230C" w:rsidP="0087311B">
      <w:pPr>
        <w:pStyle w:val="Heading1"/>
      </w:pPr>
      <w:r>
        <w:t>Go/No Go Checklist</w:t>
      </w:r>
    </w:p>
    <w:p w:rsidR="0087311B" w:rsidRPr="0087311B" w:rsidRDefault="0087311B" w:rsidP="0087311B"/>
    <w:tbl>
      <w:tblPr>
        <w:tblStyle w:val="TableGrid"/>
        <w:tblW w:w="0" w:type="auto"/>
        <w:tblLook w:val="04A0" w:firstRow="1" w:lastRow="0" w:firstColumn="1" w:lastColumn="0" w:noHBand="0" w:noVBand="1"/>
      </w:tblPr>
      <w:tblGrid>
        <w:gridCol w:w="2394"/>
        <w:gridCol w:w="2394"/>
        <w:gridCol w:w="2394"/>
        <w:gridCol w:w="2394"/>
      </w:tblGrid>
      <w:tr w:rsidR="0087311B" w:rsidTr="0087311B">
        <w:tc>
          <w:tcPr>
            <w:tcW w:w="2394" w:type="dxa"/>
            <w:shd w:val="clear" w:color="auto" w:fill="D9D9D9" w:themeFill="background1" w:themeFillShade="D9"/>
          </w:tcPr>
          <w:p w:rsidR="0087311B" w:rsidRPr="0087311B" w:rsidRDefault="0087311B" w:rsidP="007502C8">
            <w:pPr>
              <w:rPr>
                <w:b/>
              </w:rPr>
            </w:pPr>
            <w:r w:rsidRPr="0087311B">
              <w:rPr>
                <w:b/>
              </w:rPr>
              <w:t>Activity</w:t>
            </w:r>
          </w:p>
        </w:tc>
        <w:tc>
          <w:tcPr>
            <w:tcW w:w="2394" w:type="dxa"/>
            <w:shd w:val="clear" w:color="auto" w:fill="D9D9D9" w:themeFill="background1" w:themeFillShade="D9"/>
          </w:tcPr>
          <w:p w:rsidR="0087311B" w:rsidRPr="0087311B" w:rsidRDefault="0087311B" w:rsidP="007502C8">
            <w:pPr>
              <w:rPr>
                <w:b/>
              </w:rPr>
            </w:pPr>
            <w:r w:rsidRPr="0087311B">
              <w:rPr>
                <w:b/>
              </w:rPr>
              <w:t>Comments</w:t>
            </w:r>
          </w:p>
        </w:tc>
        <w:tc>
          <w:tcPr>
            <w:tcW w:w="2394" w:type="dxa"/>
            <w:shd w:val="clear" w:color="auto" w:fill="D9D9D9" w:themeFill="background1" w:themeFillShade="D9"/>
          </w:tcPr>
          <w:p w:rsidR="0087311B" w:rsidRPr="0087311B" w:rsidRDefault="0087311B" w:rsidP="007502C8">
            <w:pPr>
              <w:rPr>
                <w:b/>
              </w:rPr>
            </w:pPr>
            <w:r w:rsidRPr="0087311B">
              <w:rPr>
                <w:b/>
              </w:rPr>
              <w:t>Readiness Status/Score</w:t>
            </w:r>
          </w:p>
        </w:tc>
        <w:tc>
          <w:tcPr>
            <w:tcW w:w="2394" w:type="dxa"/>
            <w:shd w:val="clear" w:color="auto" w:fill="D9D9D9" w:themeFill="background1" w:themeFillShade="D9"/>
          </w:tcPr>
          <w:p w:rsidR="0087311B" w:rsidRPr="0087311B" w:rsidRDefault="0087311B" w:rsidP="007502C8">
            <w:pPr>
              <w:rPr>
                <w:b/>
              </w:rPr>
            </w:pPr>
            <w:r w:rsidRPr="0087311B">
              <w:rPr>
                <w:b/>
              </w:rPr>
              <w:t>Potential Impact/Changes</w:t>
            </w:r>
          </w:p>
        </w:tc>
      </w:tr>
      <w:tr w:rsidR="0087311B" w:rsidTr="0087311B">
        <w:tc>
          <w:tcPr>
            <w:tcW w:w="2394" w:type="dxa"/>
          </w:tcPr>
          <w:p w:rsidR="0087311B" w:rsidRDefault="0087311B" w:rsidP="007502C8">
            <w:r>
              <w:t>Project Management</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Adherence to Waterloo’s Standards and Policies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Environmental Readiness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D005F9" w:rsidTr="0087311B">
        <w:tc>
          <w:tcPr>
            <w:tcW w:w="2394" w:type="dxa"/>
          </w:tcPr>
          <w:p w:rsidR="00D005F9" w:rsidRDefault="00D005F9" w:rsidP="007502C8">
            <w:r>
              <w:t>Data and information available to measure success</w:t>
            </w:r>
          </w:p>
        </w:tc>
        <w:tc>
          <w:tcPr>
            <w:tcW w:w="2394" w:type="dxa"/>
          </w:tcPr>
          <w:p w:rsidR="00D005F9" w:rsidRDefault="00D005F9" w:rsidP="007502C8"/>
        </w:tc>
        <w:tc>
          <w:tcPr>
            <w:tcW w:w="2394" w:type="dxa"/>
          </w:tcPr>
          <w:p w:rsidR="00D005F9" w:rsidRDefault="00D005F9" w:rsidP="007502C8"/>
        </w:tc>
        <w:tc>
          <w:tcPr>
            <w:tcW w:w="2394" w:type="dxa"/>
          </w:tcPr>
          <w:p w:rsidR="00D005F9" w:rsidRDefault="00D005F9" w:rsidP="007502C8"/>
        </w:tc>
      </w:tr>
      <w:tr w:rsidR="0087311B" w:rsidTr="0087311B">
        <w:tc>
          <w:tcPr>
            <w:tcW w:w="2394" w:type="dxa"/>
          </w:tcPr>
          <w:p w:rsidR="0087311B" w:rsidRDefault="0087311B" w:rsidP="007502C8">
            <w:r>
              <w:t>IT Infrastructure</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Procedures, Processes and Workflows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D005F9" w:rsidTr="0087311B">
        <w:tc>
          <w:tcPr>
            <w:tcW w:w="2394" w:type="dxa"/>
          </w:tcPr>
          <w:p w:rsidR="00D005F9" w:rsidRDefault="00D005F9" w:rsidP="007502C8">
            <w:r>
              <w:t>Scope Completion</w:t>
            </w:r>
          </w:p>
        </w:tc>
        <w:tc>
          <w:tcPr>
            <w:tcW w:w="2394" w:type="dxa"/>
          </w:tcPr>
          <w:p w:rsidR="00D005F9" w:rsidRDefault="00D005F9" w:rsidP="007502C8"/>
        </w:tc>
        <w:tc>
          <w:tcPr>
            <w:tcW w:w="2394" w:type="dxa"/>
          </w:tcPr>
          <w:p w:rsidR="00D005F9" w:rsidRDefault="00D005F9" w:rsidP="007502C8"/>
        </w:tc>
        <w:tc>
          <w:tcPr>
            <w:tcW w:w="2394" w:type="dxa"/>
          </w:tcPr>
          <w:p w:rsidR="00D005F9" w:rsidRDefault="00D005F9" w:rsidP="007502C8"/>
        </w:tc>
      </w:tr>
      <w:tr w:rsidR="0087311B" w:rsidTr="0087311B">
        <w:tc>
          <w:tcPr>
            <w:tcW w:w="2394" w:type="dxa"/>
          </w:tcPr>
          <w:p w:rsidR="0087311B" w:rsidRDefault="0087311B" w:rsidP="007502C8">
            <w:r>
              <w:t>Training Needs Assessment &amp; corresponding materials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Communications/ Implementation Plan &amp; corresponding materials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lastRenderedPageBreak/>
              <w:t>Requirements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Fit/Gap Analysis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D005F9" w:rsidTr="0087311B">
        <w:tc>
          <w:tcPr>
            <w:tcW w:w="2394" w:type="dxa"/>
          </w:tcPr>
          <w:p w:rsidR="00D005F9" w:rsidRDefault="00D005F9" w:rsidP="007502C8">
            <w:r>
              <w:t>Specifications documented</w:t>
            </w:r>
          </w:p>
        </w:tc>
        <w:tc>
          <w:tcPr>
            <w:tcW w:w="2394" w:type="dxa"/>
          </w:tcPr>
          <w:p w:rsidR="00D005F9" w:rsidRDefault="00D005F9" w:rsidP="007502C8"/>
        </w:tc>
        <w:tc>
          <w:tcPr>
            <w:tcW w:w="2394" w:type="dxa"/>
          </w:tcPr>
          <w:p w:rsidR="00D005F9" w:rsidRDefault="00D005F9" w:rsidP="007502C8"/>
        </w:tc>
        <w:tc>
          <w:tcPr>
            <w:tcW w:w="2394" w:type="dxa"/>
          </w:tcPr>
          <w:p w:rsidR="00D005F9" w:rsidRDefault="00D005F9" w:rsidP="007502C8"/>
        </w:tc>
      </w:tr>
      <w:tr w:rsidR="0087311B" w:rsidTr="0087311B">
        <w:tc>
          <w:tcPr>
            <w:tcW w:w="2394" w:type="dxa"/>
          </w:tcPr>
          <w:p w:rsidR="0087311B" w:rsidRDefault="0087311B" w:rsidP="007502C8">
            <w:r>
              <w:t>Development</w:t>
            </w:r>
            <w:r w:rsidR="00D005F9">
              <w:t xml:space="preserve"> documented and signed off</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Unit Testing</w:t>
            </w:r>
            <w:r w:rsidR="00D005F9">
              <w:t xml:space="preserve"> complete, documented and signed off</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Acceptance/ Integration Testing</w:t>
            </w:r>
            <w:r w:rsidR="00D005F9">
              <w:t xml:space="preserve"> complete, documented and signed off</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Configuration and Set Up</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Security</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Conversion</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Reporting</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Support</w:t>
            </w:r>
            <w:r w:rsidR="00D005F9">
              <w:t xml:space="preserve"> mechanism in place after go live</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Cutover and Contingency Plan</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Ongoing maintenance plan</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87311B" w:rsidTr="0087311B">
        <w:tc>
          <w:tcPr>
            <w:tcW w:w="2394" w:type="dxa"/>
          </w:tcPr>
          <w:p w:rsidR="0087311B" w:rsidRDefault="0087311B" w:rsidP="007502C8">
            <w:r>
              <w:t>Change Management (end user readiness)</w:t>
            </w:r>
          </w:p>
        </w:tc>
        <w:tc>
          <w:tcPr>
            <w:tcW w:w="2394" w:type="dxa"/>
          </w:tcPr>
          <w:p w:rsidR="0087311B" w:rsidRDefault="0087311B" w:rsidP="007502C8"/>
        </w:tc>
        <w:tc>
          <w:tcPr>
            <w:tcW w:w="2394" w:type="dxa"/>
          </w:tcPr>
          <w:p w:rsidR="0087311B" w:rsidRDefault="0087311B" w:rsidP="007502C8"/>
        </w:tc>
        <w:tc>
          <w:tcPr>
            <w:tcW w:w="2394" w:type="dxa"/>
          </w:tcPr>
          <w:p w:rsidR="0087311B" w:rsidRDefault="0087311B" w:rsidP="007502C8"/>
        </w:tc>
      </w:tr>
      <w:tr w:rsidR="00D005F9" w:rsidTr="0087311B">
        <w:tc>
          <w:tcPr>
            <w:tcW w:w="2394" w:type="dxa"/>
          </w:tcPr>
          <w:p w:rsidR="00D005F9" w:rsidRDefault="00D005F9" w:rsidP="007502C8">
            <w:r>
              <w:t>Management support for the change in place</w:t>
            </w:r>
          </w:p>
        </w:tc>
        <w:tc>
          <w:tcPr>
            <w:tcW w:w="2394" w:type="dxa"/>
          </w:tcPr>
          <w:p w:rsidR="00D005F9" w:rsidRDefault="00D005F9" w:rsidP="007502C8"/>
        </w:tc>
        <w:tc>
          <w:tcPr>
            <w:tcW w:w="2394" w:type="dxa"/>
          </w:tcPr>
          <w:p w:rsidR="00D005F9" w:rsidRDefault="00D005F9" w:rsidP="007502C8"/>
        </w:tc>
        <w:tc>
          <w:tcPr>
            <w:tcW w:w="2394" w:type="dxa"/>
          </w:tcPr>
          <w:p w:rsidR="00D005F9" w:rsidRDefault="00D005F9" w:rsidP="007502C8"/>
        </w:tc>
      </w:tr>
      <w:tr w:rsidR="00D005F9" w:rsidTr="0087311B">
        <w:tc>
          <w:tcPr>
            <w:tcW w:w="2394" w:type="dxa"/>
          </w:tcPr>
          <w:p w:rsidR="00D005F9" w:rsidRDefault="00D005F9" w:rsidP="007502C8">
            <w:r>
              <w:t>Adequate resources available for the go live</w:t>
            </w:r>
          </w:p>
        </w:tc>
        <w:tc>
          <w:tcPr>
            <w:tcW w:w="2394" w:type="dxa"/>
          </w:tcPr>
          <w:p w:rsidR="00D005F9" w:rsidRDefault="00D005F9" w:rsidP="007502C8"/>
        </w:tc>
        <w:tc>
          <w:tcPr>
            <w:tcW w:w="2394" w:type="dxa"/>
          </w:tcPr>
          <w:p w:rsidR="00D005F9" w:rsidRDefault="00D005F9" w:rsidP="007502C8"/>
        </w:tc>
        <w:tc>
          <w:tcPr>
            <w:tcW w:w="2394" w:type="dxa"/>
          </w:tcPr>
          <w:p w:rsidR="00D005F9" w:rsidRDefault="00D005F9" w:rsidP="007502C8"/>
        </w:tc>
      </w:tr>
    </w:tbl>
    <w:p w:rsidR="0087311B" w:rsidRPr="00A84FED" w:rsidRDefault="0087311B" w:rsidP="007502C8"/>
    <w:p w:rsidR="007502C8" w:rsidRDefault="0087311B" w:rsidP="007502C8">
      <w:pPr>
        <w:rPr>
          <w:i/>
          <w:color w:val="00B050"/>
        </w:rPr>
      </w:pPr>
      <w:r>
        <w:rPr>
          <w:i/>
          <w:color w:val="00B050"/>
        </w:rPr>
        <w:t>Add other items to the above chart, where relevant to the project.</w:t>
      </w:r>
      <w:r w:rsidR="009954EC">
        <w:rPr>
          <w:i/>
          <w:color w:val="00B050"/>
        </w:rPr>
        <w:t xml:space="preserve"> Some of the items in the check list may not pertain to the current project – in this situation, indicate they are not applicable but do not remove them from the chart.</w:t>
      </w:r>
    </w:p>
    <w:p w:rsidR="007502C8" w:rsidRDefault="009954EC" w:rsidP="007502C8">
      <w:pPr>
        <w:pStyle w:val="Heading1"/>
      </w:pPr>
      <w:r>
        <w:t>Go/ No Go Decision</w:t>
      </w:r>
    </w:p>
    <w:p w:rsidR="007502C8" w:rsidRDefault="009954EC" w:rsidP="007502C8">
      <w:pPr>
        <w:rPr>
          <w:i/>
          <w:color w:val="00B050"/>
        </w:rPr>
      </w:pPr>
      <w:r>
        <w:rPr>
          <w:i/>
          <w:color w:val="00B050"/>
        </w:rPr>
        <w:t>Document the decision on whether to proceed or not proceed with the implementation.  If the decision is not to proceed, include details of the course of action the project is to follow with regards to the project (</w:t>
      </w:r>
      <w:proofErr w:type="spellStart"/>
      <w:r>
        <w:rPr>
          <w:i/>
          <w:color w:val="00B050"/>
        </w:rPr>
        <w:t>eg</w:t>
      </w:r>
      <w:proofErr w:type="spellEnd"/>
      <w:r>
        <w:rPr>
          <w:i/>
          <w:color w:val="00B050"/>
        </w:rPr>
        <w:t xml:space="preserve">. The go live will be delayed until some further date, or a list of actions to be followed to prepare for go live and another review will be done, </w:t>
      </w:r>
      <w:proofErr w:type="spellStart"/>
      <w:r>
        <w:rPr>
          <w:i/>
          <w:color w:val="00B050"/>
        </w:rPr>
        <w:t>etc</w:t>
      </w:r>
      <w:proofErr w:type="spellEnd"/>
      <w:r>
        <w:rPr>
          <w:i/>
          <w:color w:val="00B050"/>
        </w:rPr>
        <w:t>).</w:t>
      </w:r>
    </w:p>
    <w:p w:rsidR="00D06827" w:rsidRPr="00A84FED" w:rsidRDefault="00D06827" w:rsidP="00D06827">
      <w:r>
        <w:t>[Insert Go / No Go Decision here]</w:t>
      </w:r>
    </w:p>
    <w:p w:rsidR="00315B72" w:rsidRDefault="00315B72" w:rsidP="00315B72">
      <w:pPr>
        <w:pStyle w:val="Heading1"/>
      </w:pPr>
      <w:r>
        <w:lastRenderedPageBreak/>
        <w:t>Approval</w:t>
      </w:r>
    </w:p>
    <w:p w:rsidR="00315B72" w:rsidRDefault="009954EC" w:rsidP="00315B72">
      <w:r>
        <w:t>Go Live Readiness Assessment Reviewed By</w:t>
      </w:r>
      <w:r w:rsidR="00315B72">
        <w:t>:   [</w:t>
      </w:r>
      <w:r w:rsidR="00315B72" w:rsidRPr="00902B6A">
        <w:t xml:space="preserve">insert who has </w:t>
      </w:r>
      <w:r>
        <w:t>reviewed this document</w:t>
      </w:r>
      <w:r w:rsidR="00315B72" w:rsidRPr="00902B6A">
        <w:t>]</w:t>
      </w:r>
    </w:p>
    <w:p w:rsidR="00315B72" w:rsidRDefault="009954EC" w:rsidP="00315B72">
      <w:r>
        <w:t>Go Live Readiness Assessment Decision Approved By</w:t>
      </w:r>
      <w:r w:rsidR="00315B72">
        <w:t>: [</w:t>
      </w:r>
      <w:r>
        <w:t>insert who has approved the go/no go decision</w:t>
      </w:r>
      <w:r w:rsidR="00315B72">
        <w:t>]</w:t>
      </w:r>
    </w:p>
    <w:p w:rsidR="00315B72" w:rsidRPr="00902B6A" w:rsidRDefault="00315B72" w:rsidP="00315B72"/>
    <w:sectPr w:rsidR="00315B72" w:rsidRPr="00902B6A" w:rsidSect="00A67D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0C" w:rsidRDefault="005E230C" w:rsidP="00A67DF1">
      <w:pPr>
        <w:spacing w:after="0" w:line="240" w:lineRule="auto"/>
      </w:pPr>
      <w:r>
        <w:separator/>
      </w:r>
    </w:p>
  </w:endnote>
  <w:endnote w:type="continuationSeparator" w:id="0">
    <w:p w:rsidR="005E230C" w:rsidRDefault="005E230C"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27" w:rsidRDefault="00D0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7746"/>
      <w:docPartObj>
        <w:docPartGallery w:val="Page Numbers (Bottom of Page)"/>
        <w:docPartUnique/>
      </w:docPartObj>
    </w:sdtPr>
    <w:sdtEndPr>
      <w:rPr>
        <w:noProof/>
      </w:rPr>
    </w:sdtEndPr>
    <w:sdtContent>
      <w:p w:rsidR="005E230C" w:rsidRDefault="00D06827">
        <w:pPr>
          <w:pStyle w:val="Footer"/>
        </w:pPr>
        <w:r>
          <w:t xml:space="preserve">Page | </w:t>
        </w:r>
        <w:r>
          <w:fldChar w:fldCharType="begin"/>
        </w:r>
        <w:r>
          <w:instrText xml:space="preserve"> PAGE   \* MERGEFORMAT </w:instrText>
        </w:r>
        <w:r>
          <w:fldChar w:fldCharType="separate"/>
        </w:r>
        <w:r>
          <w:rPr>
            <w:noProof/>
          </w:rPr>
          <w:t>3</w:t>
        </w:r>
        <w:r>
          <w:rPr>
            <w:noProof/>
          </w:rPr>
          <w:fldChar w:fldCharType="end"/>
        </w:r>
        <w:r>
          <w:rPr>
            <w:noProof/>
          </w:rPr>
          <w:tab/>
        </w:r>
        <w:r>
          <w:rPr>
            <w:noProof/>
          </w:rPr>
          <w:tab/>
          <w:t>[Insert full path and file name]</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27" w:rsidRDefault="00D0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0C" w:rsidRDefault="005E230C" w:rsidP="00A67DF1">
      <w:pPr>
        <w:spacing w:after="0" w:line="240" w:lineRule="auto"/>
      </w:pPr>
      <w:r>
        <w:separator/>
      </w:r>
    </w:p>
  </w:footnote>
  <w:footnote w:type="continuationSeparator" w:id="0">
    <w:p w:rsidR="005E230C" w:rsidRDefault="005E230C" w:rsidP="00A67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27" w:rsidRDefault="00D06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0C" w:rsidRDefault="005E230C" w:rsidP="00A67DF1">
    <w:pPr>
      <w:pStyle w:val="Header"/>
    </w:pPr>
    <w:r>
      <w:rPr>
        <w:noProof/>
      </w:rPr>
      <w:drawing>
        <wp:inline distT="0" distB="0" distL="0" distR="0" wp14:anchorId="5B9F0FE2" wp14:editId="00314A0A">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5E230C" w:rsidRPr="00A67DF1" w:rsidRDefault="005E230C" w:rsidP="00A67DF1">
    <w:pPr>
      <w:pStyle w:val="Header"/>
      <w:rPr>
        <w:sz w:val="28"/>
        <w:szCs w:val="28"/>
      </w:rPr>
    </w:pPr>
    <w:r>
      <w:rPr>
        <w:sz w:val="28"/>
        <w:szCs w:val="28"/>
      </w:rPr>
      <w:t xml:space="preserve">Go Live Readiness Risk Assessment – </w:t>
    </w:r>
    <w:r w:rsidR="00D06827">
      <w:rPr>
        <w:sz w:val="28"/>
        <w:szCs w:val="28"/>
      </w:rPr>
      <w:t>[Insert Project Name]</w:t>
    </w:r>
  </w:p>
  <w:p w:rsidR="005E230C" w:rsidRDefault="005E230C">
    <w:r>
      <w:rPr>
        <w:noProof/>
      </w:rPr>
      <w:drawing>
        <wp:inline distT="0" distB="0" distL="0" distR="0" wp14:anchorId="7DF21B8D" wp14:editId="4C17D9B9">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27" w:rsidRDefault="00D06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F1"/>
    <w:rsid w:val="00315B72"/>
    <w:rsid w:val="00415CF6"/>
    <w:rsid w:val="005E230C"/>
    <w:rsid w:val="006A11F5"/>
    <w:rsid w:val="007502C8"/>
    <w:rsid w:val="007532EE"/>
    <w:rsid w:val="00837E5B"/>
    <w:rsid w:val="0087311B"/>
    <w:rsid w:val="00902B6A"/>
    <w:rsid w:val="009505F3"/>
    <w:rsid w:val="009954EC"/>
    <w:rsid w:val="00A67DF1"/>
    <w:rsid w:val="00A84FED"/>
    <w:rsid w:val="00B23D8E"/>
    <w:rsid w:val="00D005F9"/>
    <w:rsid w:val="00D06827"/>
    <w:rsid w:val="00EA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7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7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F81BD" w:themeColor="accent1"/>
              <w:sz w:val="80"/>
              <w:szCs w:val="80"/>
            </w:rPr>
            <w:t>[Type the document title]</w:t>
          </w:r>
        </w:p>
      </w:docPartBody>
    </w:docPart>
    <w:docPart>
      <w:docPartPr>
        <w:name w:val="365E8D834E42437A9A7CB570C468B6EF"/>
        <w:category>
          <w:name w:val="General"/>
          <w:gallery w:val="placeholder"/>
        </w:category>
        <w:types>
          <w:type w:val="bbPlcHdr"/>
        </w:types>
        <w:behaviors>
          <w:behavior w:val="content"/>
        </w:behaviors>
        <w:guid w:val="{AEA70D13-B958-4D19-94BC-D729A1BA8A38}"/>
      </w:docPartPr>
      <w:docPartBody>
        <w:p w:rsidR="00F729BC" w:rsidRDefault="00F729BC" w:rsidP="00F729BC">
          <w:pPr>
            <w:pStyle w:val="365E8D834E42437A9A7CB570C468B6EF"/>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BC"/>
    <w:rsid w:val="0061201C"/>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 Live Readiness Risk Assessment</vt:lpstr>
    </vt:vector>
  </TitlesOfParts>
  <Company>University of Waterloo</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Live Readiness Risk Assessment</dc:title>
  <dc:subject> [Insert Project Name] </dc:subject>
  <dc:creator> [Type the author name]</dc:creator>
  <cp:lastModifiedBy>van Oostveen, Connie A</cp:lastModifiedBy>
  <cp:revision>7</cp:revision>
  <dcterms:created xsi:type="dcterms:W3CDTF">2012-02-27T15:59:00Z</dcterms:created>
  <dcterms:modified xsi:type="dcterms:W3CDTF">2012-10-16T15:15:00Z</dcterms:modified>
</cp:coreProperties>
</file>